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DB123" w14:textId="72A47F9A" w:rsidR="006C3828" w:rsidRPr="00D40355" w:rsidRDefault="006C3828" w:rsidP="00894D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0355">
        <w:rPr>
          <w:rFonts w:ascii="Times New Roman" w:hAnsi="Times New Roman" w:cs="Times New Roman"/>
          <w:b/>
          <w:bCs/>
          <w:sz w:val="24"/>
          <w:szCs w:val="24"/>
        </w:rPr>
        <w:t>Latvijas Bankas noteikumu projekta "</w:t>
      </w:r>
      <w:r w:rsidR="003E7CF8" w:rsidRPr="00D40355">
        <w:rPr>
          <w:rFonts w:ascii="Times New Roman" w:hAnsi="Times New Roman" w:cs="Times New Roman"/>
          <w:b/>
          <w:bCs/>
          <w:sz w:val="24"/>
          <w:szCs w:val="24"/>
        </w:rPr>
        <w:t>Grozījumi Latvijas Bankas 2024.</w:t>
      </w:r>
      <w:r w:rsidR="0010304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3E7CF8" w:rsidRPr="00D40355">
        <w:rPr>
          <w:rFonts w:ascii="Times New Roman" w:hAnsi="Times New Roman" w:cs="Times New Roman"/>
          <w:b/>
          <w:bCs/>
          <w:sz w:val="24"/>
          <w:szCs w:val="24"/>
        </w:rPr>
        <w:t>gada 25.</w:t>
      </w:r>
      <w:r w:rsidR="0010304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3E7CF8" w:rsidRPr="00D40355">
        <w:rPr>
          <w:rFonts w:ascii="Times New Roman" w:hAnsi="Times New Roman" w:cs="Times New Roman"/>
          <w:b/>
          <w:bCs/>
          <w:sz w:val="24"/>
          <w:szCs w:val="24"/>
        </w:rPr>
        <w:t>marta noteikumos Nr.</w:t>
      </w:r>
      <w:r w:rsidR="0010304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3E7CF8" w:rsidRPr="00D40355">
        <w:rPr>
          <w:rFonts w:ascii="Times New Roman" w:hAnsi="Times New Roman" w:cs="Times New Roman"/>
          <w:b/>
          <w:bCs/>
          <w:sz w:val="24"/>
          <w:szCs w:val="24"/>
        </w:rPr>
        <w:t xml:space="preserve">282 </w:t>
      </w:r>
      <w:r w:rsidR="00AB55C0" w:rsidRPr="00D40355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6D2A84" w:rsidRPr="00D40355">
        <w:rPr>
          <w:rFonts w:ascii="Times New Roman" w:hAnsi="Times New Roman" w:cs="Times New Roman"/>
          <w:b/>
          <w:bCs/>
          <w:sz w:val="24"/>
          <w:szCs w:val="24"/>
        </w:rPr>
        <w:t>Uzraudzības pārskatu sagatavošanas un iesniegšanas noteikumi</w:t>
      </w:r>
      <w:bookmarkStart w:id="0" w:name="_Hlk211248077"/>
      <w:r w:rsidRPr="00D40355">
        <w:rPr>
          <w:rFonts w:ascii="Times New Roman" w:hAnsi="Times New Roman" w:cs="Times New Roman"/>
          <w:b/>
          <w:bCs/>
          <w:sz w:val="24"/>
          <w:szCs w:val="24"/>
        </w:rPr>
        <w:t>"</w:t>
      </w:r>
      <w:bookmarkEnd w:id="0"/>
      <w:r w:rsidR="00AB55C0" w:rsidRPr="00D40355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Pr="00D40355">
        <w:rPr>
          <w:rFonts w:ascii="Times New Roman" w:hAnsi="Times New Roman" w:cs="Times New Roman"/>
          <w:b/>
          <w:bCs/>
          <w:sz w:val="24"/>
          <w:szCs w:val="24"/>
        </w:rPr>
        <w:t xml:space="preserve"> anotācija</w:t>
      </w:r>
    </w:p>
    <w:p w14:paraId="328163FB" w14:textId="77777777" w:rsidR="006C3828" w:rsidRPr="00D40355" w:rsidRDefault="006C3828" w:rsidP="00AD0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6"/>
        <w:gridCol w:w="7220"/>
      </w:tblGrid>
      <w:tr w:rsidR="006C3828" w:rsidRPr="00D40355" w14:paraId="2962AEE1" w14:textId="77777777">
        <w:trPr>
          <w:trHeight w:val="567"/>
        </w:trPr>
        <w:tc>
          <w:tcPr>
            <w:tcW w:w="987" w:type="pct"/>
            <w:hideMark/>
          </w:tcPr>
          <w:p w14:paraId="28E56CFA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bookmarkStart w:id="1" w:name="_Hlk212459767"/>
            <w:r w:rsidRPr="00D40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Nosaukums</w:t>
            </w:r>
          </w:p>
          <w:p w14:paraId="04926FAB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4013" w:type="pct"/>
          </w:tcPr>
          <w:p w14:paraId="00D2931F" w14:textId="2BC02D69" w:rsidR="006C3828" w:rsidRPr="00D40355" w:rsidRDefault="003E7CF8" w:rsidP="00D53AC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Grozījumi Latvijas Bankas 2024.</w:t>
            </w:r>
            <w:r w:rsidR="0010304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25.</w:t>
            </w:r>
            <w:r w:rsidR="0010304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marta noteikumos Nr.</w:t>
            </w:r>
            <w:r w:rsidR="0010304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282 </w:t>
            </w:r>
            <w:r w:rsidR="00AB55C0" w:rsidRPr="00D40355">
              <w:rPr>
                <w:rFonts w:ascii="Times New Roman" w:hAnsi="Times New Roman" w:cs="Times New Roman"/>
                <w:sz w:val="24"/>
                <w:szCs w:val="24"/>
              </w:rPr>
              <w:t>"U</w:t>
            </w:r>
            <w:r w:rsidR="00DA7B63"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zraudzības pārskatu sagatavošanas un iesniegšanas noteikumi</w:t>
            </w:r>
            <w:r w:rsidR="00AB55C0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(turpmāk</w:t>
            </w:r>
            <w:r w:rsidR="0010304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 noteikumu projekts)</w:t>
            </w:r>
            <w:r w:rsidR="007B560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bookmarkEnd w:id="1"/>
      <w:tr w:rsidR="006C3828" w:rsidRPr="00D40355" w14:paraId="7F11A741" w14:textId="77777777">
        <w:trPr>
          <w:trHeight w:val="395"/>
        </w:trPr>
        <w:tc>
          <w:tcPr>
            <w:tcW w:w="987" w:type="pct"/>
            <w:hideMark/>
          </w:tcPr>
          <w:p w14:paraId="49DBC46E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40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Dokumenta veids</w:t>
            </w:r>
          </w:p>
          <w:p w14:paraId="0F0B9B60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4013" w:type="pct"/>
          </w:tcPr>
          <w:p w14:paraId="4B5460C8" w14:textId="77777777" w:rsidR="006C3828" w:rsidRPr="00D40355" w:rsidRDefault="006C3828" w:rsidP="00D53AC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Bankas noteikumi</w:t>
            </w:r>
          </w:p>
        </w:tc>
      </w:tr>
      <w:tr w:rsidR="006C3828" w:rsidRPr="00D40355" w14:paraId="11B9F009" w14:textId="77777777">
        <w:trPr>
          <w:trHeight w:val="567"/>
        </w:trPr>
        <w:tc>
          <w:tcPr>
            <w:tcW w:w="987" w:type="pct"/>
            <w:hideMark/>
          </w:tcPr>
          <w:p w14:paraId="634A5735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40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Izdošanas pamatojums </w:t>
            </w:r>
          </w:p>
          <w:p w14:paraId="360069FD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4013" w:type="pct"/>
          </w:tcPr>
          <w:p w14:paraId="48EEF1AA" w14:textId="08DE8839" w:rsidR="006C3828" w:rsidRPr="00D40355" w:rsidRDefault="0083648E" w:rsidP="00D53AC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2" w:name="_Hlk212461711"/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Kredītiestāžu likuma 6.</w:t>
            </w:r>
            <w:r w:rsidR="002134DD"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piektā daļa</w:t>
            </w:r>
            <w:r w:rsidR="00FB0F1F"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43. panta trešā daļa</w:t>
            </w: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50.</w:t>
            </w:r>
            <w:r w:rsidR="002134DD"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</w:t>
            </w:r>
            <w:r w:rsidR="001D15F6"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otrā un</w:t>
            </w: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trešā daļa, Latvijas Bankas likuma 63.</w:t>
            </w:r>
            <w:r w:rsidR="00882736"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otrā daļa un 68.</w:t>
            </w:r>
            <w:r w:rsidR="00882736"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trešā daļa</w:t>
            </w:r>
            <w:bookmarkEnd w:id="2"/>
          </w:p>
        </w:tc>
      </w:tr>
      <w:tr w:rsidR="006C3828" w:rsidRPr="00D40355" w14:paraId="26D3F596" w14:textId="77777777">
        <w:trPr>
          <w:trHeight w:val="567"/>
        </w:trPr>
        <w:tc>
          <w:tcPr>
            <w:tcW w:w="987" w:type="pct"/>
            <w:hideMark/>
          </w:tcPr>
          <w:p w14:paraId="253A449D" w14:textId="308E7E3F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40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Mērķis un būtība</w:t>
            </w:r>
          </w:p>
          <w:p w14:paraId="47670F7B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57C9B05B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4013" w:type="pct"/>
          </w:tcPr>
          <w:p w14:paraId="2A7CB5E7" w14:textId="77777777" w:rsidR="0010304E" w:rsidRDefault="007375D4" w:rsidP="00E57FB5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Latvijas Banka ir izstrādājusi </w:t>
            </w:r>
            <w:r w:rsidR="00E2555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25552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oteikumu </w:t>
            </w:r>
            <w:r w:rsidR="003E7CF8" w:rsidRPr="00D40355">
              <w:rPr>
                <w:rFonts w:ascii="Times New Roman" w:hAnsi="Times New Roman" w:cs="Times New Roman"/>
                <w:sz w:val="24"/>
                <w:szCs w:val="24"/>
              </w:rPr>
              <w:t>projekt</w:t>
            </w:r>
            <w:r w:rsidRPr="00D40355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3E7CF8" w:rsidRPr="00D40355">
              <w:rPr>
                <w:rFonts w:ascii="Times New Roman" w:hAnsi="Times New Roman" w:cs="Times New Roman"/>
                <w:sz w:val="24"/>
                <w:szCs w:val="24"/>
              </w:rPr>
              <w:t>, lai</w:t>
            </w:r>
            <w:r w:rsidR="00BE06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8A7A83E" w14:textId="6B317826" w:rsidR="00E57FB5" w:rsidRDefault="00F40E05" w:rsidP="00E57FB5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030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C5896" w:rsidRPr="00E57FB5">
              <w:rPr>
                <w:rFonts w:ascii="Times New Roman" w:hAnsi="Times New Roman" w:cs="Times New Roman"/>
                <w:sz w:val="24"/>
                <w:szCs w:val="24"/>
              </w:rPr>
              <w:t>precizētu personu, kas saistītas ar kredītiestādi</w:t>
            </w:r>
            <w:r w:rsidR="00BE06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C5896" w:rsidRPr="00E57FB5">
              <w:rPr>
                <w:rFonts w:ascii="Times New Roman" w:hAnsi="Times New Roman" w:cs="Times New Roman"/>
                <w:sz w:val="24"/>
                <w:szCs w:val="24"/>
              </w:rPr>
              <w:t>loku</w:t>
            </w:r>
            <w:r w:rsidR="00BE06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226D329" w14:textId="01BD12B4" w:rsidR="00D31051" w:rsidRPr="00F40E05" w:rsidRDefault="0010304E" w:rsidP="00BE062F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57FB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7C5896" w:rsidRPr="00E57FB5">
              <w:rPr>
                <w:rFonts w:ascii="Times New Roman" w:hAnsi="Times New Roman" w:cs="Times New Roman"/>
                <w:sz w:val="24"/>
                <w:szCs w:val="24"/>
              </w:rPr>
              <w:t>papildinot to ar partneriem, ar kuriem reģistrēta partnerība</w:t>
            </w:r>
            <w:r w:rsidR="00D31051" w:rsidRPr="00BE06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00284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D31051" w:rsidRPr="00E57FB5">
              <w:rPr>
                <w:rFonts w:ascii="Times New Roman" w:hAnsi="Times New Roman" w:cs="Times New Roman"/>
                <w:sz w:val="24"/>
                <w:szCs w:val="24"/>
              </w:rPr>
              <w:t>tādējādi nodrošinot Kredītiestāžu likuma 43.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31051" w:rsidRPr="00E57FB5">
              <w:rPr>
                <w:rFonts w:ascii="Times New Roman" w:hAnsi="Times New Roman" w:cs="Times New Roman"/>
                <w:sz w:val="24"/>
                <w:szCs w:val="24"/>
              </w:rPr>
              <w:t>panta pirmajā daļā noteiktā riska darījumu</w:t>
            </w:r>
            <w:r w:rsidR="00D31051" w:rsidRPr="00D31051">
              <w:rPr>
                <w:rFonts w:ascii="Times New Roman" w:hAnsi="Times New Roman" w:cs="Times New Roman"/>
                <w:sz w:val="24"/>
                <w:szCs w:val="24"/>
              </w:rPr>
              <w:t xml:space="preserve"> ierobežojum</w:t>
            </w:r>
            <w:r w:rsidR="00D3105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31051" w:rsidRPr="00D31051">
              <w:rPr>
                <w:rFonts w:ascii="Times New Roman" w:hAnsi="Times New Roman" w:cs="Times New Roman"/>
                <w:sz w:val="24"/>
                <w:szCs w:val="24"/>
              </w:rPr>
              <w:t xml:space="preserve"> piemērošanu arī </w:t>
            </w:r>
            <w:r w:rsidR="00D31051" w:rsidRPr="00F40E05">
              <w:rPr>
                <w:rFonts w:ascii="Times New Roman" w:hAnsi="Times New Roman" w:cs="Times New Roman"/>
                <w:sz w:val="24"/>
                <w:szCs w:val="24"/>
              </w:rPr>
              <w:t>attiecībā uz riska darījumu slēgšanu ar reģistrētajiem partneriem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1051"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284">
              <w:rPr>
                <w:rFonts w:ascii="Times New Roman" w:hAnsi="Times New Roman" w:cs="Times New Roman"/>
                <w:sz w:val="24"/>
                <w:szCs w:val="24"/>
              </w:rPr>
              <w:t>Šāds papildinājums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 xml:space="preserve"> nepieciešams, </w:t>
            </w:r>
            <w:r w:rsidR="00D31051" w:rsidRPr="00F40E05">
              <w:rPr>
                <w:rFonts w:ascii="Times New Roman" w:hAnsi="Times New Roman" w:cs="Times New Roman"/>
                <w:sz w:val="24"/>
                <w:szCs w:val="24"/>
              </w:rPr>
              <w:t>ņemot vērā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 xml:space="preserve"> to</w:t>
            </w:r>
            <w:r w:rsidR="00D31051" w:rsidRPr="00F40E05">
              <w:rPr>
                <w:rFonts w:ascii="Times New Roman" w:hAnsi="Times New Roman" w:cs="Times New Roman"/>
                <w:sz w:val="24"/>
                <w:szCs w:val="24"/>
              </w:rPr>
              <w:t>, ka Latvijā no 2024.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31051" w:rsidRPr="00F40E05">
              <w:rPr>
                <w:rFonts w:ascii="Times New Roman" w:hAnsi="Times New Roman" w:cs="Times New Roman"/>
                <w:sz w:val="24"/>
                <w:szCs w:val="24"/>
              </w:rPr>
              <w:t>gada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31051" w:rsidRPr="00F40E05">
              <w:rPr>
                <w:rFonts w:ascii="Times New Roman" w:hAnsi="Times New Roman" w:cs="Times New Roman"/>
                <w:sz w:val="24"/>
                <w:szCs w:val="24"/>
              </w:rPr>
              <w:t>jūlija tiesiskais regulējums ļauj reģistrēt partnerību</w:t>
            </w:r>
            <w:r w:rsidR="00BF6F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6319A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="00BF6F97">
              <w:rPr>
                <w:rFonts w:ascii="Times New Roman" w:hAnsi="Times New Roman" w:cs="Times New Roman"/>
                <w:sz w:val="24"/>
                <w:szCs w:val="24"/>
              </w:rPr>
              <w:t xml:space="preserve"> to, ka attiecīgi grozījumi ir plānoti arī Kredītiestāžu likuma 43.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F6F97">
              <w:rPr>
                <w:rFonts w:ascii="Times New Roman" w:hAnsi="Times New Roman" w:cs="Times New Roman"/>
                <w:sz w:val="24"/>
                <w:szCs w:val="24"/>
              </w:rPr>
              <w:t>panta pirmajā daļā</w:t>
            </w:r>
            <w:r w:rsidR="006E7953">
              <w:rPr>
                <w:rFonts w:ascii="Times New Roman" w:hAnsi="Times New Roman" w:cs="Times New Roman"/>
                <w:sz w:val="24"/>
                <w:szCs w:val="24"/>
              </w:rPr>
              <w:t xml:space="preserve"> (likumprojekts </w:t>
            </w:r>
            <w:r w:rsidR="0000028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E7953">
              <w:rPr>
                <w:rFonts w:ascii="Times New Roman" w:hAnsi="Times New Roman" w:cs="Times New Roman"/>
                <w:sz w:val="24"/>
                <w:szCs w:val="24"/>
              </w:rPr>
              <w:t>Nr. </w:t>
            </w:r>
            <w:r w:rsidR="006E7953" w:rsidRPr="006E7953">
              <w:rPr>
                <w:rFonts w:ascii="Times New Roman" w:hAnsi="Times New Roman" w:cs="Times New Roman"/>
                <w:sz w:val="24"/>
                <w:szCs w:val="24"/>
              </w:rPr>
              <w:t>25-TA-1075</w:t>
            </w:r>
            <w:r w:rsidR="006E79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07E49" w:rsidRPr="00F40E05">
              <w:rPr>
                <w:rFonts w:ascii="Times New Roman" w:hAnsi="Times New Roman" w:cs="Times New Roman"/>
                <w:sz w:val="24"/>
                <w:szCs w:val="24"/>
              </w:rPr>
              <w:t>. Ņemot vērā minēto, atbilstoši precizēts</w:t>
            </w:r>
            <w:r w:rsidR="00E57FB5"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 Latvijas Bankas 2024.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57FB5" w:rsidRPr="00F40E05">
              <w:rPr>
                <w:rFonts w:ascii="Times New Roman" w:hAnsi="Times New Roman" w:cs="Times New Roman"/>
                <w:sz w:val="24"/>
                <w:szCs w:val="24"/>
              </w:rPr>
              <w:t>gada 25.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57FB5" w:rsidRPr="00F40E05">
              <w:rPr>
                <w:rFonts w:ascii="Times New Roman" w:hAnsi="Times New Roman" w:cs="Times New Roman"/>
                <w:sz w:val="24"/>
                <w:szCs w:val="24"/>
              </w:rPr>
              <w:t>marta noteikumu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57FB5" w:rsidRPr="00F40E05">
              <w:rPr>
                <w:rFonts w:ascii="Times New Roman" w:hAnsi="Times New Roman" w:cs="Times New Roman"/>
                <w:sz w:val="24"/>
                <w:szCs w:val="24"/>
              </w:rPr>
              <w:t>282 "Uzraudzības pārskatu sagatavošanas un iesniegšanas noteikumi" (turpmāk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57FB5" w:rsidRPr="00F40E05">
              <w:rPr>
                <w:rFonts w:ascii="Times New Roman" w:hAnsi="Times New Roman" w:cs="Times New Roman"/>
                <w:sz w:val="24"/>
                <w:szCs w:val="24"/>
              </w:rPr>
              <w:t>– Noteikumi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57FB5" w:rsidRPr="00F40E05">
              <w:rPr>
                <w:rFonts w:ascii="Times New Roman" w:hAnsi="Times New Roman" w:cs="Times New Roman"/>
                <w:sz w:val="24"/>
                <w:szCs w:val="24"/>
              </w:rPr>
              <w:t>282) 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57FB5" w:rsidRPr="00F40E05">
              <w:rPr>
                <w:rFonts w:ascii="Times New Roman" w:hAnsi="Times New Roman" w:cs="Times New Roman"/>
                <w:sz w:val="24"/>
                <w:szCs w:val="24"/>
              </w:rPr>
              <w:t>pielikums</w:t>
            </w:r>
            <w:r w:rsidR="00D31051" w:rsidRPr="00F40E0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4AB9F97" w14:textId="0A3366EA" w:rsidR="00D31051" w:rsidRDefault="0010304E" w:rsidP="00BE062F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57FB5"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E57FB5" w:rsidRPr="00BE062F">
              <w:rPr>
                <w:rFonts w:ascii="Times New Roman" w:hAnsi="Times New Roman" w:cs="Times New Roman"/>
                <w:sz w:val="24"/>
                <w:szCs w:val="24"/>
              </w:rPr>
              <w:t>salāgo</w:t>
            </w:r>
            <w:r w:rsidR="00F40E05">
              <w:rPr>
                <w:rFonts w:ascii="Times New Roman" w:hAnsi="Times New Roman" w:cs="Times New Roman"/>
                <w:sz w:val="24"/>
                <w:szCs w:val="24"/>
              </w:rPr>
              <w:t>jot</w:t>
            </w:r>
            <w:r w:rsidR="00E57FB5" w:rsidRPr="00BE0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09A8" w:rsidRPr="00F40E05">
              <w:rPr>
                <w:rFonts w:ascii="Times New Roman" w:hAnsi="Times New Roman" w:cs="Times New Roman"/>
                <w:sz w:val="24"/>
                <w:szCs w:val="24"/>
              </w:rPr>
              <w:t>Noteikumu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909A8" w:rsidRPr="00F40E05">
              <w:rPr>
                <w:rFonts w:ascii="Times New Roman" w:hAnsi="Times New Roman" w:cs="Times New Roman"/>
                <w:sz w:val="24"/>
                <w:szCs w:val="24"/>
              </w:rPr>
              <w:t>282 1.4.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01121">
              <w:rPr>
                <w:rFonts w:ascii="Times New Roman" w:hAnsi="Times New Roman" w:cs="Times New Roman"/>
                <w:sz w:val="24"/>
                <w:szCs w:val="24"/>
              </w:rPr>
              <w:t>apakš</w:t>
            </w:r>
            <w:r w:rsidR="006909A8" w:rsidRPr="00F40E05">
              <w:rPr>
                <w:rFonts w:ascii="Times New Roman" w:hAnsi="Times New Roman" w:cs="Times New Roman"/>
                <w:sz w:val="24"/>
                <w:szCs w:val="24"/>
              </w:rPr>
              <w:t>punktā lietoto terminoloģiju ar plānotajiem grozījumiem</w:t>
            </w:r>
            <w:r w:rsidR="00E57FB5" w:rsidRPr="00BE062F">
              <w:rPr>
                <w:rFonts w:ascii="Times New Roman" w:hAnsi="Times New Roman" w:cs="Times New Roman"/>
                <w:sz w:val="24"/>
                <w:szCs w:val="24"/>
              </w:rPr>
              <w:t xml:space="preserve"> Kredītiestāžu likumā</w:t>
            </w:r>
            <w:r w:rsidR="006909A8" w:rsidRPr="00F40E05">
              <w:rPr>
                <w:rFonts w:ascii="Times New Roman" w:hAnsi="Times New Roman" w:cs="Times New Roman"/>
                <w:sz w:val="24"/>
                <w:szCs w:val="24"/>
              </w:rPr>
              <w:t>, kas ieviesīs terminus "iekšējās kontroles funkcijas" un "iekšējās kontroles funkciju vadītāji"</w:t>
            </w:r>
            <w:r w:rsidR="00A704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09A8"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 Noteikumu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909A8" w:rsidRPr="00F40E05">
              <w:rPr>
                <w:rFonts w:ascii="Times New Roman" w:hAnsi="Times New Roman" w:cs="Times New Roman"/>
                <w:sz w:val="24"/>
                <w:szCs w:val="24"/>
              </w:rPr>
              <w:t>282 1.4.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01121">
              <w:rPr>
                <w:rFonts w:ascii="Times New Roman" w:hAnsi="Times New Roman" w:cs="Times New Roman"/>
                <w:sz w:val="24"/>
                <w:szCs w:val="24"/>
              </w:rPr>
              <w:t>apakš</w:t>
            </w:r>
            <w:r w:rsidR="006909A8" w:rsidRPr="00F40E05">
              <w:rPr>
                <w:rFonts w:ascii="Times New Roman" w:hAnsi="Times New Roman" w:cs="Times New Roman"/>
                <w:sz w:val="24"/>
                <w:szCs w:val="24"/>
              </w:rPr>
              <w:t>punktā vārd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6909A8"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 "iekšējā audita dienesta vadītāju, risku direktoru, par darbības atbilstības kontroli atbildīgo personu un sabiedrības kontrolieri"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 xml:space="preserve"> ti</w:t>
            </w:r>
            <w:r w:rsidR="0036319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k aizstāti</w:t>
            </w:r>
            <w:r w:rsidR="006909A8"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 ar vārdiem "iekšējās kontroles funkciju vadītājiem", </w:t>
            </w:r>
            <w:r w:rsidR="00F40E05"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kā arī </w:t>
            </w:r>
            <w:r w:rsidR="006909A8"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papildus </w:t>
            </w:r>
            <w:r w:rsidR="00F40E05" w:rsidRPr="00F40E05">
              <w:rPr>
                <w:rFonts w:ascii="Times New Roman" w:hAnsi="Times New Roman" w:cs="Times New Roman"/>
                <w:sz w:val="24"/>
                <w:szCs w:val="24"/>
              </w:rPr>
              <w:t>sabiedrības kontrolieri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s ti</w:t>
            </w:r>
            <w:r w:rsidR="0036319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k izslēgts</w:t>
            </w:r>
            <w:r w:rsidR="00F40E05"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 no personu, kas saistītas ar kredītiestādi, loka, </w:t>
            </w:r>
            <w:r w:rsidR="006909A8" w:rsidRPr="00F40E05">
              <w:rPr>
                <w:rFonts w:ascii="Times New Roman" w:hAnsi="Times New Roman" w:cs="Times New Roman"/>
                <w:sz w:val="24"/>
                <w:szCs w:val="24"/>
              </w:rPr>
              <w:t>ņemot vērā, ka</w:t>
            </w:r>
            <w:r w:rsidR="00F40E05"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 no Komerclikuma ir izslēgts 184.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40E05" w:rsidRPr="00F40E05">
              <w:rPr>
                <w:rFonts w:ascii="Times New Roman" w:hAnsi="Times New Roman" w:cs="Times New Roman"/>
                <w:sz w:val="24"/>
                <w:szCs w:val="24"/>
              </w:rPr>
              <w:t>pants par sabiedrības kontrolieri</w:t>
            </w:r>
            <w:r w:rsidR="007375D4"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251D7747" w14:textId="078287BB" w:rsidR="00AB55C0" w:rsidRDefault="00BE062F" w:rsidP="00BE062F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B5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40E05" w:rsidRPr="00F40E05">
              <w:rPr>
                <w:rFonts w:ascii="Times New Roman" w:hAnsi="Times New Roman" w:cs="Times New Roman"/>
                <w:sz w:val="24"/>
                <w:szCs w:val="24"/>
              </w:rPr>
              <w:t>aizstātu atsauci uz Komisijas 2020.</w:t>
            </w:r>
            <w:r w:rsidR="00DB5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40E05" w:rsidRPr="00F40E05">
              <w:rPr>
                <w:rFonts w:ascii="Times New Roman" w:hAnsi="Times New Roman" w:cs="Times New Roman"/>
                <w:sz w:val="24"/>
                <w:szCs w:val="24"/>
              </w:rPr>
              <w:t>gada 17.</w:t>
            </w:r>
            <w:r w:rsidR="00DB5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40E05" w:rsidRPr="00F40E05">
              <w:rPr>
                <w:rFonts w:ascii="Times New Roman" w:hAnsi="Times New Roman" w:cs="Times New Roman"/>
                <w:sz w:val="24"/>
                <w:szCs w:val="24"/>
              </w:rPr>
              <w:t>decembra īstenošanas regulu (ES)</w:t>
            </w:r>
            <w:r w:rsidR="00BA2A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40E05" w:rsidRPr="00F40E05">
              <w:rPr>
                <w:rFonts w:ascii="Times New Roman" w:hAnsi="Times New Roman" w:cs="Times New Roman"/>
                <w:sz w:val="24"/>
                <w:szCs w:val="24"/>
              </w:rPr>
              <w:t>2021/451, ar ko nosaka īstenošanas tehniskos standartus Eiropas Parlamenta un Padomes regulas (ES)</w:t>
            </w:r>
            <w:r w:rsidR="00DB5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C6A01"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 w:rsidR="00F40E05" w:rsidRPr="00F40E05">
              <w:rPr>
                <w:rFonts w:ascii="Times New Roman" w:hAnsi="Times New Roman" w:cs="Times New Roman"/>
                <w:sz w:val="24"/>
                <w:szCs w:val="24"/>
              </w:rPr>
              <w:t>575/2013 piemērošanai attiecībā uz iestāžu sniegtajiem uzraudzības pārskatiem un atceļ īstenošanas regulu (ES) 680/2014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40E05"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0E05">
              <w:rPr>
                <w:rFonts w:ascii="Times New Roman" w:hAnsi="Times New Roman" w:cs="Times New Roman"/>
                <w:sz w:val="24"/>
                <w:szCs w:val="24"/>
              </w:rPr>
              <w:t xml:space="preserve">ar atsauci uz </w:t>
            </w:r>
            <w:r w:rsidR="00F40E05" w:rsidRPr="00F40E05">
              <w:rPr>
                <w:rFonts w:ascii="Times New Roman" w:hAnsi="Times New Roman" w:cs="Times New Roman"/>
                <w:sz w:val="24"/>
                <w:szCs w:val="24"/>
              </w:rPr>
              <w:t>Komisijas 2024.</w:t>
            </w:r>
            <w:r w:rsidR="00DB5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40E05" w:rsidRPr="00F40E05">
              <w:rPr>
                <w:rFonts w:ascii="Times New Roman" w:hAnsi="Times New Roman" w:cs="Times New Roman"/>
                <w:sz w:val="24"/>
                <w:szCs w:val="24"/>
              </w:rPr>
              <w:t>gada 29.</w:t>
            </w:r>
            <w:r w:rsidR="00DB5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40E05" w:rsidRPr="00F40E05">
              <w:rPr>
                <w:rFonts w:ascii="Times New Roman" w:hAnsi="Times New Roman" w:cs="Times New Roman"/>
                <w:sz w:val="24"/>
                <w:szCs w:val="24"/>
              </w:rPr>
              <w:t>novembra īstenošanas regul</w:t>
            </w:r>
            <w:r w:rsidR="00F40E05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F40E05"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 (ES)</w:t>
            </w:r>
            <w:r w:rsidR="00EC6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0E05" w:rsidRPr="00F40E05">
              <w:rPr>
                <w:rFonts w:ascii="Times New Roman" w:hAnsi="Times New Roman" w:cs="Times New Roman"/>
                <w:sz w:val="24"/>
                <w:szCs w:val="24"/>
              </w:rPr>
              <w:t>2024/3117</w:t>
            </w:r>
            <w:r w:rsidR="00F40E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40E05"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 ar ko nosaka īstenošanas tehniskos standartus Eiropas Parlamenta un Padomes regulas (ES) </w:t>
            </w:r>
            <w:r w:rsidR="00EC6A01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  <w:r w:rsidR="00EC6A01" w:rsidRPr="00F40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C6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40E05"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575/2013 piemērošanai attiecībā uz iestāžu sniegtajiem uzraudzības pārskatiem un atceļ </w:t>
            </w:r>
            <w:r w:rsidR="00401121">
              <w:rPr>
                <w:rFonts w:ascii="Times New Roman" w:hAnsi="Times New Roman" w:cs="Times New Roman"/>
                <w:sz w:val="24"/>
                <w:szCs w:val="24"/>
              </w:rPr>
              <w:t xml:space="preserve">Komisijas </w:t>
            </w:r>
            <w:r w:rsidR="00F40E05" w:rsidRPr="00F40E05">
              <w:rPr>
                <w:rFonts w:ascii="Times New Roman" w:hAnsi="Times New Roman" w:cs="Times New Roman"/>
                <w:sz w:val="24"/>
                <w:szCs w:val="24"/>
              </w:rPr>
              <w:t>īstenošanas regulu (ES)</w:t>
            </w:r>
            <w:r w:rsidR="00DB5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40E05" w:rsidRPr="00F40E05">
              <w:rPr>
                <w:rFonts w:ascii="Times New Roman" w:hAnsi="Times New Roman" w:cs="Times New Roman"/>
                <w:sz w:val="24"/>
                <w:szCs w:val="24"/>
              </w:rPr>
              <w:t>2021/451</w:t>
            </w:r>
            <w:r w:rsidR="00236CE2">
              <w:rPr>
                <w:rFonts w:ascii="Times New Roman" w:hAnsi="Times New Roman" w:cs="Times New Roman"/>
                <w:sz w:val="24"/>
                <w:szCs w:val="24"/>
              </w:rPr>
              <w:t xml:space="preserve"> (turpmāk </w:t>
            </w:r>
            <w:r w:rsidR="00BA2A0D" w:rsidRPr="00751F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36CE2" w:rsidRPr="00751F9B">
              <w:rPr>
                <w:rFonts w:ascii="Times New Roman" w:hAnsi="Times New Roman" w:cs="Times New Roman"/>
                <w:sz w:val="24"/>
                <w:szCs w:val="24"/>
              </w:rPr>
              <w:t xml:space="preserve"> ES regula </w:t>
            </w:r>
            <w:r w:rsidR="00EC6A01">
              <w:rPr>
                <w:rFonts w:ascii="Times New Roman" w:hAnsi="Times New Roman" w:cs="Times New Roman"/>
                <w:sz w:val="24"/>
                <w:szCs w:val="24"/>
              </w:rPr>
              <w:t>Nr. </w:t>
            </w:r>
            <w:r w:rsidR="00236CE2" w:rsidRPr="00751F9B">
              <w:rPr>
                <w:rFonts w:ascii="Times New Roman" w:hAnsi="Times New Roman" w:cs="Times New Roman"/>
                <w:sz w:val="24"/>
                <w:szCs w:val="24"/>
              </w:rPr>
              <w:t>2024/3117)</w:t>
            </w:r>
            <w:r w:rsidR="00F40E05" w:rsidRPr="00751F9B">
              <w:rPr>
                <w:rFonts w:ascii="Times New Roman" w:hAnsi="Times New Roman" w:cs="Times New Roman"/>
                <w:sz w:val="24"/>
                <w:szCs w:val="24"/>
              </w:rPr>
              <w:t xml:space="preserve">, ņemot vērā, ka ES regula </w:t>
            </w:r>
            <w:r w:rsidR="00EC6A01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 w:rsidR="00F40E05" w:rsidRPr="00751F9B">
              <w:rPr>
                <w:rFonts w:ascii="Times New Roman" w:hAnsi="Times New Roman" w:cs="Times New Roman"/>
                <w:sz w:val="24"/>
                <w:szCs w:val="24"/>
              </w:rPr>
              <w:t xml:space="preserve">2024/3117 atceļ sākotnēji </w:t>
            </w:r>
            <w:r w:rsidR="00751F9B" w:rsidRPr="00751F9B">
              <w:rPr>
                <w:rFonts w:ascii="Times New Roman" w:hAnsi="Times New Roman" w:cs="Times New Roman"/>
                <w:sz w:val="24"/>
                <w:szCs w:val="24"/>
              </w:rPr>
              <w:t>Noteikumos</w:t>
            </w:r>
            <w:r w:rsidR="00751F9B"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 Nr.</w:t>
            </w:r>
            <w:r w:rsidR="00751F9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51F9B"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282 </w:t>
            </w:r>
            <w:r w:rsidR="00F40E05">
              <w:rPr>
                <w:rFonts w:ascii="Times New Roman" w:hAnsi="Times New Roman" w:cs="Times New Roman"/>
                <w:sz w:val="24"/>
                <w:szCs w:val="24"/>
              </w:rPr>
              <w:t>minēto regulu;</w:t>
            </w:r>
          </w:p>
          <w:p w14:paraId="0B597053" w14:textId="5ADF3559" w:rsidR="00066E69" w:rsidRPr="00D40355" w:rsidRDefault="00BE062F" w:rsidP="00BE062F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B5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85593" w:rsidRPr="00D40355">
              <w:rPr>
                <w:rFonts w:ascii="Times New Roman" w:hAnsi="Times New Roman" w:cs="Times New Roman"/>
                <w:sz w:val="24"/>
                <w:szCs w:val="24"/>
              </w:rPr>
              <w:t>mazinātu administratīvo slogu kredītiestādēm</w:t>
            </w:r>
            <w:r w:rsidR="00DB5D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5593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 salāgojot </w:t>
            </w:r>
            <w:r w:rsidR="00913E63">
              <w:rPr>
                <w:rFonts w:ascii="Times New Roman" w:hAnsi="Times New Roman" w:cs="Times New Roman"/>
                <w:sz w:val="24"/>
                <w:szCs w:val="24"/>
              </w:rPr>
              <w:t>uzraudzības finanšu pārskatu (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 xml:space="preserve">turpmāk – </w:t>
            </w:r>
            <w:r w:rsidR="00B85593" w:rsidRPr="00D40355">
              <w:rPr>
                <w:rFonts w:ascii="Times New Roman" w:hAnsi="Times New Roman" w:cs="Times New Roman"/>
                <w:sz w:val="24"/>
                <w:szCs w:val="24"/>
              </w:rPr>
              <w:t>FINREP</w:t>
            </w:r>
            <w:r w:rsidR="00913E6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B85593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sniegšanas </w:t>
            </w:r>
            <w:r w:rsidR="00096D87">
              <w:rPr>
                <w:rFonts w:ascii="Times New Roman" w:hAnsi="Times New Roman" w:cs="Times New Roman"/>
                <w:sz w:val="24"/>
                <w:szCs w:val="24"/>
              </w:rPr>
              <w:t xml:space="preserve">nosacījumus </w:t>
            </w:r>
            <w:r w:rsidR="00C00D09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individuālajā līmenī </w:t>
            </w:r>
            <w:r w:rsidR="00941AFF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="00AB55C0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nosacījumiem, kas kredītiestādēm </w:t>
            </w:r>
            <w:r w:rsidR="00066E69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FINREP </w:t>
            </w:r>
            <w:r w:rsidR="00C00D09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sagatavošanai </w:t>
            </w:r>
            <w:r w:rsidR="00000284" w:rsidRPr="00D40355">
              <w:rPr>
                <w:rFonts w:ascii="Times New Roman" w:hAnsi="Times New Roman" w:cs="Times New Roman"/>
                <w:sz w:val="24"/>
                <w:szCs w:val="24"/>
              </w:rPr>
              <w:t>noteikt</w:t>
            </w:r>
            <w:r w:rsidR="0000028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000284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6E69" w:rsidRPr="00D40355">
              <w:rPr>
                <w:rFonts w:ascii="Times New Roman" w:hAnsi="Times New Roman" w:cs="Times New Roman"/>
                <w:sz w:val="24"/>
                <w:szCs w:val="24"/>
              </w:rPr>
              <w:t>prudenciālās</w:t>
            </w:r>
            <w:proofErr w:type="spellEnd"/>
            <w:r w:rsidR="00066E69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 konsolidācijas grupas </w:t>
            </w:r>
            <w:r w:rsidR="00DB5D84">
              <w:rPr>
                <w:rFonts w:ascii="Times New Roman" w:hAnsi="Times New Roman" w:cs="Times New Roman"/>
                <w:sz w:val="24"/>
                <w:szCs w:val="24"/>
              </w:rPr>
              <w:t xml:space="preserve">līmenī </w:t>
            </w:r>
            <w:r w:rsidR="00096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atbilstoši</w:t>
            </w:r>
            <w:r w:rsidR="00066E69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5593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ES 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B85593" w:rsidRPr="00D40355">
              <w:rPr>
                <w:rFonts w:ascii="Times New Roman" w:hAnsi="Times New Roman" w:cs="Times New Roman"/>
                <w:sz w:val="24"/>
                <w:szCs w:val="24"/>
              </w:rPr>
              <w:t>egula</w:t>
            </w:r>
            <w:r w:rsidR="00096D8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B85593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941AFF" w:rsidRPr="00D40355">
              <w:rPr>
                <w:rFonts w:ascii="Times New Roman" w:hAnsi="Times New Roman" w:cs="Times New Roman"/>
                <w:sz w:val="24"/>
                <w:szCs w:val="24"/>
              </w:rPr>
              <w:t>24/3117</w:t>
            </w:r>
            <w:r w:rsidR="00096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0D09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1AFF" w:rsidRPr="00D40355">
              <w:rPr>
                <w:rFonts w:ascii="Times New Roman" w:hAnsi="Times New Roman" w:cs="Times New Roman"/>
                <w:sz w:val="24"/>
                <w:szCs w:val="24"/>
              </w:rPr>
              <w:t>Kredītiestāde, kas ir mazāk nozīmīgā uzraudzītā iestāde</w:t>
            </w:r>
            <w:r w:rsidR="00066E69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CAD34E" w14:textId="6D6F99F2" w:rsidR="00941AFF" w:rsidRPr="0061718C" w:rsidRDefault="00000284" w:rsidP="0061718C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208387770"/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="00DB5D84" w:rsidRPr="00617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DB5D84" w:rsidRPr="006171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>20.01, F</w:t>
            </w:r>
            <w:r w:rsidR="00DB5D84" w:rsidRPr="006171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>20.02, F</w:t>
            </w:r>
            <w:r w:rsidR="00DB5D84" w:rsidRPr="006171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>20.03, F</w:t>
            </w:r>
            <w:r w:rsidR="00DB5D84" w:rsidRPr="006171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>20.04, F</w:t>
            </w:r>
            <w:r w:rsidR="00DB5D84" w:rsidRPr="006171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>20.05, F</w:t>
            </w:r>
            <w:r w:rsidR="00DB5D84" w:rsidRPr="006171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>20.06, F</w:t>
            </w:r>
            <w:r w:rsidR="00DB5D84" w:rsidRPr="006171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>20.07.1</w:t>
            </w:r>
            <w:r w:rsidR="00BA2A0D" w:rsidRPr="00617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>veidn</w:t>
            </w:r>
            <w:r w:rsidR="00C00D09" w:rsidRPr="0061718C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 xml:space="preserve"> sniedz</w:t>
            </w:r>
            <w:r w:rsidR="00DB5D84" w:rsidRPr="006171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 xml:space="preserve"> ievērojot ES regulas Nr</w:t>
            </w:r>
            <w:r w:rsidR="00DB5D84" w:rsidRPr="0061718C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>2024/3117 11.</w:t>
            </w:r>
            <w:r w:rsidR="00DB5D84" w:rsidRPr="006171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 xml:space="preserve">panta </w:t>
            </w:r>
            <w:r w:rsidR="00236CE2" w:rsidRPr="0061718C">
              <w:rPr>
                <w:rFonts w:ascii="Times New Roman" w:hAnsi="Times New Roman" w:cs="Times New Roman"/>
                <w:sz w:val="24"/>
                <w:szCs w:val="24"/>
              </w:rPr>
              <w:t xml:space="preserve">pirmās daļas 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236CE2" w:rsidRPr="0061718C">
              <w:rPr>
                <w:rFonts w:ascii="Times New Roman" w:hAnsi="Times New Roman" w:cs="Times New Roman"/>
                <w:sz w:val="24"/>
                <w:szCs w:val="24"/>
              </w:rPr>
              <w:t>) 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>punkta nosacījumus; </w:t>
            </w:r>
          </w:p>
          <w:p w14:paraId="42192363" w14:textId="5316A7C7" w:rsidR="00941AFF" w:rsidRPr="0061718C" w:rsidRDefault="00000284" w:rsidP="0061718C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="00306FDB" w:rsidRPr="00617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D84" w:rsidRPr="0061718C">
              <w:rPr>
                <w:rFonts w:ascii="Times New Roman" w:hAnsi="Times New Roman" w:cs="Times New Roman"/>
                <w:sz w:val="24"/>
                <w:szCs w:val="24"/>
              </w:rPr>
              <w:t>F 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 xml:space="preserve">22.01 un </w:t>
            </w:r>
            <w:r w:rsidR="00DB5D84" w:rsidRPr="0061718C">
              <w:rPr>
                <w:rFonts w:ascii="Times New Roman" w:hAnsi="Times New Roman" w:cs="Times New Roman"/>
                <w:sz w:val="24"/>
                <w:szCs w:val="24"/>
              </w:rPr>
              <w:t>F 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>22.02 veidn</w:t>
            </w:r>
            <w:r w:rsidR="00C00D09" w:rsidRPr="0061718C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 xml:space="preserve"> sniedz</w:t>
            </w:r>
            <w:r w:rsidR="00DB5D84" w:rsidRPr="006171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 xml:space="preserve"> ievērojot ES regulas </w:t>
            </w:r>
            <w:r w:rsidR="00EC6A01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  <w:r w:rsidR="00EC6A01" w:rsidRPr="00F40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C6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>2024/3117 11.</w:t>
            </w:r>
            <w:r w:rsidR="00DB5D84" w:rsidRPr="006171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 xml:space="preserve">panta </w:t>
            </w:r>
            <w:r w:rsidR="00236CE2" w:rsidRPr="0061718C">
              <w:rPr>
                <w:rFonts w:ascii="Times New Roman" w:hAnsi="Times New Roman" w:cs="Times New Roman"/>
                <w:sz w:val="24"/>
                <w:szCs w:val="24"/>
              </w:rPr>
              <w:t xml:space="preserve">pirmās daļas 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236CE2" w:rsidRPr="0061718C">
              <w:rPr>
                <w:rFonts w:ascii="Times New Roman" w:hAnsi="Times New Roman" w:cs="Times New Roman"/>
                <w:sz w:val="24"/>
                <w:szCs w:val="24"/>
              </w:rPr>
              <w:t>) 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>punkta nosacījumus;</w:t>
            </w:r>
          </w:p>
          <w:p w14:paraId="6B1FDC31" w14:textId="1C31CAC2" w:rsidR="00664982" w:rsidRPr="0061718C" w:rsidRDefault="00000284" w:rsidP="0061718C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 w:rsidR="00066E69" w:rsidRPr="00617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>F 23.01, F 23.02, F 23.03, F 23.04, F 23.05, F 23.06, F 24.01, F 24.02, F 24.03</w:t>
            </w:r>
            <w:r w:rsidR="002D70BB" w:rsidRPr="0061718C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 xml:space="preserve"> F 25.01 veidn</w:t>
            </w:r>
            <w:r w:rsidR="00C00D09" w:rsidRPr="0061718C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 xml:space="preserve"> sniedz, ievērojot ES regulas </w:t>
            </w:r>
            <w:r w:rsidR="00EC6A01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  <w:r w:rsidR="00EC6A01" w:rsidRPr="00F40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C6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 xml:space="preserve">2021/451 11. panta </w:t>
            </w:r>
            <w:bookmarkStart w:id="4" w:name="_Hlk208387888"/>
            <w:r w:rsidR="00236CE2" w:rsidRPr="0061718C">
              <w:rPr>
                <w:rFonts w:ascii="Times New Roman" w:hAnsi="Times New Roman" w:cs="Times New Roman"/>
                <w:sz w:val="24"/>
                <w:szCs w:val="24"/>
              </w:rPr>
              <w:t xml:space="preserve">pirmās daļas </w:t>
            </w:r>
            <w:bookmarkEnd w:id="4"/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236CE2" w:rsidRPr="0061718C">
              <w:rPr>
                <w:rFonts w:ascii="Times New Roman" w:hAnsi="Times New Roman" w:cs="Times New Roman"/>
                <w:sz w:val="24"/>
                <w:szCs w:val="24"/>
              </w:rPr>
              <w:t>) </w:t>
            </w:r>
            <w:r w:rsidR="00941AFF" w:rsidRPr="0061718C">
              <w:rPr>
                <w:rFonts w:ascii="Times New Roman" w:hAnsi="Times New Roman" w:cs="Times New Roman"/>
                <w:sz w:val="24"/>
                <w:szCs w:val="24"/>
              </w:rPr>
              <w:t>punkta nosacījumus</w:t>
            </w:r>
            <w:r w:rsidR="00664982" w:rsidRPr="006171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B3B1576" w14:textId="1B4B5D5B" w:rsidR="00306FDB" w:rsidRPr="0061718C" w:rsidRDefault="00000284" w:rsidP="0061718C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 w:rsidR="00BA2A0D" w:rsidRPr="00617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FDB" w:rsidRPr="0061718C">
              <w:rPr>
                <w:rFonts w:ascii="Times New Roman" w:hAnsi="Times New Roman" w:cs="Times New Roman"/>
                <w:sz w:val="24"/>
                <w:szCs w:val="24"/>
              </w:rPr>
              <w:t>F 47.00 veidni sniedz</w:t>
            </w:r>
            <w:r w:rsidR="00DB5D84" w:rsidRPr="006171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4161" w:rsidRPr="00617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FDB" w:rsidRPr="0061718C">
              <w:rPr>
                <w:rFonts w:ascii="Times New Roman" w:hAnsi="Times New Roman" w:cs="Times New Roman"/>
                <w:sz w:val="24"/>
                <w:szCs w:val="24"/>
              </w:rPr>
              <w:t xml:space="preserve">ievērojot ES regulas </w:t>
            </w:r>
            <w:r w:rsidR="00EC6A01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  <w:r w:rsidR="00EC6A01" w:rsidRPr="00F40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C6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06FDB" w:rsidRPr="0061718C">
              <w:rPr>
                <w:rFonts w:ascii="Times New Roman" w:hAnsi="Times New Roman" w:cs="Times New Roman"/>
                <w:sz w:val="24"/>
                <w:szCs w:val="24"/>
              </w:rPr>
              <w:t>2021/451 11. panta</w:t>
            </w:r>
            <w:r w:rsidR="002D70BB" w:rsidRPr="0061718C">
              <w:rPr>
                <w:rFonts w:ascii="Times New Roman" w:hAnsi="Times New Roman" w:cs="Times New Roman"/>
                <w:sz w:val="24"/>
                <w:szCs w:val="24"/>
              </w:rPr>
              <w:t xml:space="preserve"> pirmās daļas </w:t>
            </w:r>
            <w:r w:rsidR="00306FDB" w:rsidRPr="0061718C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2D70BB" w:rsidRPr="0061718C">
              <w:rPr>
                <w:rFonts w:ascii="Times New Roman" w:hAnsi="Times New Roman" w:cs="Times New Roman"/>
                <w:sz w:val="24"/>
                <w:szCs w:val="24"/>
              </w:rPr>
              <w:t>) </w:t>
            </w:r>
            <w:r w:rsidR="00306FDB" w:rsidRPr="0061718C">
              <w:rPr>
                <w:rFonts w:ascii="Times New Roman" w:hAnsi="Times New Roman" w:cs="Times New Roman"/>
                <w:sz w:val="24"/>
                <w:szCs w:val="24"/>
              </w:rPr>
              <w:t>punkta nosacījumus;</w:t>
            </w:r>
          </w:p>
          <w:p w14:paraId="05EFC79C" w14:textId="37AA5A83" w:rsidR="007375D4" w:rsidRDefault="00096D87" w:rsidP="00096D8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B5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bookmarkEnd w:id="3"/>
            <w:r w:rsidR="007375D4" w:rsidRPr="00D40355">
              <w:rPr>
                <w:rFonts w:ascii="Times New Roman" w:hAnsi="Times New Roman" w:cs="Times New Roman"/>
                <w:sz w:val="24"/>
                <w:szCs w:val="24"/>
              </w:rPr>
              <w:t>samazinātu administratīvo slogu, main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  <w:r w:rsidR="007375D4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13" w:rsidRPr="00F40E05">
              <w:rPr>
                <w:rFonts w:ascii="Times New Roman" w:hAnsi="Times New Roman" w:cs="Times New Roman"/>
                <w:sz w:val="24"/>
                <w:szCs w:val="24"/>
              </w:rPr>
              <w:t>Noteikum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224B13"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 Nr.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24B13" w:rsidRPr="00F40E05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5D4" w:rsidRPr="00D4035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DB5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375D4" w:rsidRPr="00D40355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 w:rsidR="0036319A">
              <w:rPr>
                <w:rFonts w:ascii="Times New Roman" w:hAnsi="Times New Roman" w:cs="Times New Roman"/>
                <w:sz w:val="24"/>
                <w:szCs w:val="24"/>
              </w:rPr>
              <w:t>ā ietvertā pārskata</w:t>
            </w:r>
            <w:r w:rsidR="007375D4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 "Kredītiestādes bilancē atspoguļotie trešo personu līdzekļi un arestētie naudas līdzekļi" iesniegšanas periodiskum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="007375D4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no ceturkšņa 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pret</w:t>
            </w:r>
            <w:r w:rsidR="00224B13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5D4" w:rsidRPr="00D40355">
              <w:rPr>
                <w:rFonts w:ascii="Times New Roman" w:hAnsi="Times New Roman" w:cs="Times New Roman"/>
                <w:sz w:val="24"/>
                <w:szCs w:val="24"/>
              </w:rPr>
              <w:t>gadu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t.</w:t>
            </w:r>
            <w:r w:rsidR="00BA2A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turpmāk pārskats</w:t>
            </w:r>
            <w:r w:rsidR="00000284">
              <w:rPr>
                <w:rFonts w:ascii="Times New Roman" w:hAnsi="Times New Roman" w:cs="Times New Roman"/>
                <w:sz w:val="24"/>
                <w:szCs w:val="24"/>
              </w:rPr>
              <w:t xml:space="preserve"> būs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jāiesniedz par stāvokli katra pārskata gada beigās līdz nākamā gada 1.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februārim</w:t>
            </w:r>
            <w:r w:rsidR="007375D4" w:rsidRPr="00D403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8C7F59" w14:textId="26CC02F1" w:rsidR="007375D4" w:rsidRPr="00D40355" w:rsidRDefault="00096D87" w:rsidP="00096D8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B5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375D4" w:rsidRPr="00D40355">
              <w:rPr>
                <w:rFonts w:ascii="Times New Roman" w:hAnsi="Times New Roman" w:cs="Times New Roman"/>
                <w:sz w:val="24"/>
                <w:szCs w:val="24"/>
              </w:rPr>
              <w:t>precizētu</w:t>
            </w:r>
            <w:r w:rsidR="00224B13"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13" w:rsidRPr="00D40355">
              <w:rPr>
                <w:rFonts w:ascii="Times New Roman" w:hAnsi="Times New Roman" w:cs="Times New Roman"/>
                <w:sz w:val="24"/>
                <w:szCs w:val="24"/>
              </w:rPr>
              <w:t>zemes gabalu atspoguļošanu</w:t>
            </w:r>
            <w:r w:rsidR="00224B13"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 Noteikum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224B13"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 Nr.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24B13" w:rsidRPr="00F40E05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  <w:r w:rsidR="007375D4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 6.</w:t>
            </w:r>
            <w:r w:rsidR="00DB5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375D4" w:rsidRPr="00D40355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="007375D4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D09" w:rsidRPr="00D4035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7375D4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Pārņemto nekustamo īpašumu </w:t>
            </w:r>
            <w:r w:rsidR="00DB5D84" w:rsidRPr="00D40355">
              <w:rPr>
                <w:rFonts w:ascii="Times New Roman" w:hAnsi="Times New Roman" w:cs="Times New Roman"/>
                <w:sz w:val="24"/>
                <w:szCs w:val="24"/>
              </w:rPr>
              <w:t>pārskat</w:t>
            </w:r>
            <w:r w:rsidR="00DB5D8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00D09" w:rsidRPr="00D4035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0D09" w:rsidRPr="00D40355">
              <w:rPr>
                <w:rFonts w:ascii="Times New Roman" w:hAnsi="Times New Roman" w:cs="Times New Roman"/>
                <w:sz w:val="24"/>
                <w:szCs w:val="24"/>
              </w:rPr>
              <w:t>Noteikumu Nr.</w:t>
            </w:r>
            <w:r w:rsidR="00DB5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00D09" w:rsidRPr="00D40355">
              <w:rPr>
                <w:rFonts w:ascii="Times New Roman" w:hAnsi="Times New Roman" w:cs="Times New Roman"/>
                <w:sz w:val="24"/>
                <w:szCs w:val="24"/>
              </w:rPr>
              <w:t>282 27.2.</w:t>
            </w:r>
            <w:r w:rsidR="00DB5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36CE2">
              <w:rPr>
                <w:rFonts w:ascii="Times New Roman" w:hAnsi="Times New Roman" w:cs="Times New Roman"/>
                <w:sz w:val="24"/>
                <w:szCs w:val="24"/>
              </w:rPr>
              <w:t>apakš</w:t>
            </w:r>
            <w:r w:rsidR="00C00D09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punkts </w:t>
            </w:r>
            <w:r w:rsidR="00000284">
              <w:rPr>
                <w:rFonts w:ascii="Times New Roman" w:hAnsi="Times New Roman" w:cs="Times New Roman"/>
                <w:sz w:val="24"/>
                <w:szCs w:val="24"/>
              </w:rPr>
              <w:t xml:space="preserve">tiek </w:t>
            </w:r>
            <w:r w:rsidR="007375D4" w:rsidRPr="00D40355">
              <w:rPr>
                <w:rFonts w:ascii="Times New Roman" w:hAnsi="Times New Roman" w:cs="Times New Roman"/>
                <w:sz w:val="24"/>
                <w:szCs w:val="24"/>
              </w:rPr>
              <w:t>papildin</w:t>
            </w:r>
            <w:r w:rsidR="00C00D09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āts </w:t>
            </w:r>
            <w:r w:rsidR="007375D4" w:rsidRPr="00D40355">
              <w:rPr>
                <w:rFonts w:ascii="Times New Roman" w:hAnsi="Times New Roman" w:cs="Times New Roman"/>
                <w:sz w:val="24"/>
                <w:szCs w:val="24"/>
              </w:rPr>
              <w:t>ar norādi</w:t>
            </w:r>
            <w:r w:rsidR="00C00D09" w:rsidRPr="00D40355">
              <w:rPr>
                <w:rFonts w:ascii="Times New Roman" w:hAnsi="Times New Roman" w:cs="Times New Roman"/>
                <w:sz w:val="24"/>
                <w:szCs w:val="24"/>
              </w:rPr>
              <w:t>, ka</w:t>
            </w:r>
            <w:r w:rsidR="007375D4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 zemes gabaliem </w:t>
            </w:r>
            <w:r w:rsidR="00664982" w:rsidRPr="00D40355">
              <w:rPr>
                <w:rFonts w:ascii="Times New Roman" w:hAnsi="Times New Roman" w:cs="Times New Roman"/>
                <w:sz w:val="24"/>
                <w:szCs w:val="24"/>
              </w:rPr>
              <w:t>jāuzrāda</w:t>
            </w:r>
            <w:r w:rsidR="007375D4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7375D4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 Centrālās statistikas </w:t>
            </w:r>
            <w:r w:rsidR="00236CE2">
              <w:rPr>
                <w:rFonts w:ascii="Times New Roman" w:hAnsi="Times New Roman" w:cs="Times New Roman"/>
                <w:sz w:val="24"/>
                <w:szCs w:val="24"/>
              </w:rPr>
              <w:t xml:space="preserve">pārvaldes </w:t>
            </w:r>
            <w:r w:rsidR="007375D4" w:rsidRPr="00D40355">
              <w:rPr>
                <w:rFonts w:ascii="Times New Roman" w:hAnsi="Times New Roman" w:cs="Times New Roman"/>
                <w:sz w:val="24"/>
                <w:szCs w:val="24"/>
              </w:rPr>
              <w:t>tīmekļvietnē publicētās būvju klasifikācijas kod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375D4" w:rsidRPr="00D40355">
              <w:rPr>
                <w:rFonts w:ascii="Times New Roman" w:hAnsi="Times New Roman" w:cs="Times New Roman"/>
                <w:sz w:val="24"/>
                <w:szCs w:val="24"/>
              </w:rPr>
              <w:t>, kas ir tuv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375D4" w:rsidRPr="00D40355">
              <w:rPr>
                <w:rFonts w:ascii="Times New Roman" w:hAnsi="Times New Roman" w:cs="Times New Roman"/>
                <w:sz w:val="24"/>
                <w:szCs w:val="24"/>
              </w:rPr>
              <w:t xml:space="preserve"> izmantojamās zemes mērķiem</w:t>
            </w:r>
            <w:r w:rsidR="00236C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D704356" w14:textId="1EAD11AC" w:rsidR="006C3828" w:rsidRPr="00D40355" w:rsidRDefault="00C00D09" w:rsidP="0036111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07EE1">
              <w:rPr>
                <w:rFonts w:ascii="Times New Roman" w:hAnsi="Times New Roman" w:cs="Times New Roman"/>
                <w:sz w:val="24"/>
                <w:szCs w:val="24"/>
              </w:rPr>
              <w:t xml:space="preserve">Minētie grozījumi neskar pārskatu veidņu </w:t>
            </w:r>
            <w:r w:rsidR="00A47DA3">
              <w:rPr>
                <w:rFonts w:ascii="Times New Roman" w:hAnsi="Times New Roman" w:cs="Times New Roman"/>
                <w:sz w:val="24"/>
                <w:szCs w:val="24"/>
              </w:rPr>
              <w:t xml:space="preserve">struktūru. </w:t>
            </w:r>
            <w:r w:rsidR="00224B13" w:rsidRPr="00F40E05">
              <w:rPr>
                <w:rFonts w:ascii="Times New Roman" w:hAnsi="Times New Roman" w:cs="Times New Roman"/>
                <w:sz w:val="24"/>
                <w:szCs w:val="24"/>
              </w:rPr>
              <w:t>Noteikum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224B13"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 Nr.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24B13" w:rsidRPr="00F40E05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1111" w:rsidRPr="00D07EE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DB5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61111" w:rsidRPr="00D07EE1">
              <w:rPr>
                <w:rFonts w:ascii="Times New Roman" w:hAnsi="Times New Roman" w:cs="Times New Roman"/>
                <w:sz w:val="24"/>
                <w:szCs w:val="24"/>
              </w:rPr>
              <w:t xml:space="preserve">pielikumā </w:t>
            </w:r>
            <w:r w:rsidR="00096D87" w:rsidRPr="00D07EE1">
              <w:rPr>
                <w:rFonts w:ascii="Times New Roman" w:hAnsi="Times New Roman" w:cs="Times New Roman"/>
                <w:sz w:val="24"/>
                <w:szCs w:val="24"/>
              </w:rPr>
              <w:t>"Norādes 8.</w:t>
            </w:r>
            <w:r w:rsidR="00DB5D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96D87" w:rsidRPr="00D07EE1">
              <w:rPr>
                <w:rFonts w:ascii="Times New Roman" w:hAnsi="Times New Roman" w:cs="Times New Roman"/>
                <w:sz w:val="24"/>
                <w:szCs w:val="24"/>
              </w:rPr>
              <w:t>pielikuma "</w:t>
            </w:r>
            <w:r w:rsidR="00B90704" w:rsidRPr="00D07EE1">
              <w:rPr>
                <w:rFonts w:ascii="Times New Roman" w:hAnsi="Times New Roman" w:cs="Times New Roman"/>
                <w:sz w:val="24"/>
                <w:szCs w:val="24"/>
              </w:rPr>
              <w:t>Pārskats par riska darījumiem ar personām, kas saistītas ar kredītiestādi" aizpildīšanai</w:t>
            </w:r>
            <w:r w:rsidR="00000284">
              <w:rPr>
                <w:rFonts w:ascii="Times New Roman" w:hAnsi="Times New Roman" w:cs="Times New Roman"/>
                <w:sz w:val="24"/>
                <w:szCs w:val="24"/>
              </w:rPr>
              <w:t>" tiek</w:t>
            </w:r>
            <w:r w:rsidR="00B90704" w:rsidRPr="00D07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1111" w:rsidRPr="00D07EE1">
              <w:rPr>
                <w:rFonts w:ascii="Times New Roman" w:hAnsi="Times New Roman" w:cs="Times New Roman"/>
                <w:sz w:val="24"/>
                <w:szCs w:val="24"/>
              </w:rPr>
              <w:t>veikt</w:t>
            </w:r>
            <w:r w:rsidR="00A47DA3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361111" w:rsidRPr="00D07EE1">
              <w:rPr>
                <w:rFonts w:ascii="Times New Roman" w:hAnsi="Times New Roman" w:cs="Times New Roman"/>
                <w:sz w:val="24"/>
                <w:szCs w:val="24"/>
              </w:rPr>
              <w:t>precizējum</w:t>
            </w:r>
            <w:r w:rsidR="00A47DA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06776" w:rsidRPr="00D07EE1">
              <w:rPr>
                <w:rFonts w:ascii="Times New Roman" w:hAnsi="Times New Roman" w:cs="Times New Roman"/>
                <w:sz w:val="24"/>
                <w:szCs w:val="24"/>
              </w:rPr>
              <w:t>, k</w:t>
            </w:r>
            <w:r w:rsidR="00224B13">
              <w:rPr>
                <w:rFonts w:ascii="Times New Roman" w:hAnsi="Times New Roman" w:cs="Times New Roman"/>
                <w:sz w:val="24"/>
                <w:szCs w:val="24"/>
              </w:rPr>
              <w:t>uri</w:t>
            </w:r>
            <w:r w:rsidR="00E06776" w:rsidRPr="00D07EE1">
              <w:rPr>
                <w:rFonts w:ascii="Times New Roman" w:hAnsi="Times New Roman" w:cs="Times New Roman"/>
                <w:sz w:val="24"/>
                <w:szCs w:val="24"/>
              </w:rPr>
              <w:t xml:space="preserve"> papildina personu, kas saistītas ar kredītiestādi, kategorijas</w:t>
            </w:r>
            <w:r w:rsidR="00236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6776" w:rsidRPr="00D07EE1">
              <w:rPr>
                <w:rFonts w:ascii="Times New Roman" w:hAnsi="Times New Roman" w:cs="Times New Roman"/>
                <w:sz w:val="24"/>
                <w:szCs w:val="24"/>
              </w:rPr>
              <w:t>ar partneri</w:t>
            </w:r>
            <w:r w:rsidR="00236CE2">
              <w:rPr>
                <w:rFonts w:ascii="Times New Roman" w:hAnsi="Times New Roman" w:cs="Times New Roman"/>
                <w:sz w:val="24"/>
                <w:szCs w:val="24"/>
              </w:rPr>
              <w:t>em</w:t>
            </w:r>
            <w:r w:rsidR="00E06776" w:rsidRPr="00D07EE1">
              <w:rPr>
                <w:rFonts w:ascii="Times New Roman" w:hAnsi="Times New Roman" w:cs="Times New Roman"/>
                <w:sz w:val="24"/>
                <w:szCs w:val="24"/>
              </w:rPr>
              <w:t>, ar kuriem reģistrēta partnerība</w:t>
            </w:r>
            <w:r w:rsidR="00361111" w:rsidRPr="00D07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C3828" w:rsidRPr="00D40355" w14:paraId="1068B2B5" w14:textId="77777777">
        <w:trPr>
          <w:trHeight w:val="567"/>
        </w:trPr>
        <w:tc>
          <w:tcPr>
            <w:tcW w:w="987" w:type="pct"/>
            <w:hideMark/>
          </w:tcPr>
          <w:p w14:paraId="2C814FF0" w14:textId="4876A0DC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40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Leģitīmais mērķis</w:t>
            </w:r>
          </w:p>
          <w:p w14:paraId="77E478DC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4013" w:type="pct"/>
          </w:tcPr>
          <w:p w14:paraId="320BF953" w14:textId="7F8A1D0E" w:rsidR="007D4BE3" w:rsidRPr="00D40355" w:rsidRDefault="006C3828" w:rsidP="0036111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projekta leģitīmais mērķis ir citu personu tiesību aizsardzība un sabiedrības labklājības nodrošināšana.</w:t>
            </w:r>
          </w:p>
        </w:tc>
      </w:tr>
      <w:tr w:rsidR="006C3828" w:rsidRPr="00D40355" w14:paraId="1C6D72DB" w14:textId="77777777">
        <w:trPr>
          <w:trHeight w:val="567"/>
        </w:trPr>
        <w:tc>
          <w:tcPr>
            <w:tcW w:w="987" w:type="pct"/>
            <w:hideMark/>
          </w:tcPr>
          <w:p w14:paraId="1B9C7D28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40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Samērīgums</w:t>
            </w:r>
          </w:p>
          <w:p w14:paraId="5D7A323C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4013" w:type="pct"/>
          </w:tcPr>
          <w:p w14:paraId="063FB391" w14:textId="1A37A9D2" w:rsidR="00804161" w:rsidRPr="00804161" w:rsidRDefault="002D70BB" w:rsidP="00BA2A0D">
            <w:pPr>
              <w:pStyle w:val="Default"/>
              <w:spacing w:after="120"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Noteikumu</w:t>
            </w:r>
            <w:r w:rsidR="0029074C" w:rsidRPr="00D40355">
              <w:rPr>
                <w:rFonts w:eastAsia="Times New Roman"/>
                <w:lang w:eastAsia="lv-LV"/>
              </w:rPr>
              <w:t xml:space="preserve"> projekts precizē Noteikumos Nr.</w:t>
            </w:r>
            <w:r w:rsidR="00507E49">
              <w:rPr>
                <w:rFonts w:eastAsia="Times New Roman"/>
                <w:lang w:eastAsia="lv-LV"/>
              </w:rPr>
              <w:t> </w:t>
            </w:r>
            <w:r w:rsidR="0029074C" w:rsidRPr="00D40355">
              <w:rPr>
                <w:rFonts w:eastAsia="Times New Roman"/>
                <w:lang w:eastAsia="lv-LV"/>
              </w:rPr>
              <w:t>282 iekļautās atsauces uz E</w:t>
            </w:r>
            <w:r w:rsidR="00224B13">
              <w:rPr>
                <w:rFonts w:eastAsia="Times New Roman"/>
                <w:lang w:eastAsia="lv-LV"/>
              </w:rPr>
              <w:t xml:space="preserve">iropas </w:t>
            </w:r>
            <w:r w:rsidR="0029074C" w:rsidRPr="00D40355">
              <w:rPr>
                <w:rFonts w:eastAsia="Times New Roman"/>
                <w:lang w:eastAsia="lv-LV"/>
              </w:rPr>
              <w:t>S</w:t>
            </w:r>
            <w:r w:rsidR="00224B13">
              <w:rPr>
                <w:rFonts w:eastAsia="Times New Roman"/>
                <w:lang w:eastAsia="lv-LV"/>
              </w:rPr>
              <w:t>avienības</w:t>
            </w:r>
            <w:r w:rsidR="0029074C" w:rsidRPr="00D40355">
              <w:rPr>
                <w:rFonts w:eastAsia="Times New Roman"/>
                <w:lang w:eastAsia="lv-LV"/>
              </w:rPr>
              <w:t xml:space="preserve"> līmeņa regulējumu</w:t>
            </w:r>
            <w:r w:rsidR="00D40355">
              <w:rPr>
                <w:rFonts w:eastAsia="Times New Roman"/>
                <w:lang w:eastAsia="lv-LV"/>
              </w:rPr>
              <w:t xml:space="preserve"> un </w:t>
            </w:r>
            <w:r w:rsidR="00D40355" w:rsidRPr="00BF6F97">
              <w:rPr>
                <w:rFonts w:eastAsia="Times New Roman"/>
                <w:lang w:eastAsia="lv-LV"/>
              </w:rPr>
              <w:t>personu</w:t>
            </w:r>
            <w:r w:rsidR="00507E49" w:rsidRPr="00804F8D">
              <w:rPr>
                <w:rFonts w:eastAsia="Times New Roman"/>
                <w:lang w:eastAsia="lv-LV"/>
              </w:rPr>
              <w:t>, kas saistītas ar kredītiestādi, loku</w:t>
            </w:r>
            <w:r w:rsidR="00D40355" w:rsidRPr="00BF6F97">
              <w:rPr>
                <w:rFonts w:eastAsia="Times New Roman"/>
                <w:lang w:eastAsia="lv-LV"/>
              </w:rPr>
              <w:t xml:space="preserve"> saskaņā ar </w:t>
            </w:r>
            <w:r w:rsidR="00DB5D84">
              <w:rPr>
                <w:rFonts w:eastAsia="Times New Roman"/>
                <w:lang w:eastAsia="lv-LV"/>
              </w:rPr>
              <w:t xml:space="preserve">plānotajiem </w:t>
            </w:r>
            <w:r w:rsidR="00D40355" w:rsidRPr="00BF6F97">
              <w:rPr>
                <w:rFonts w:eastAsia="Times New Roman"/>
                <w:lang w:eastAsia="lv-LV"/>
              </w:rPr>
              <w:t>Kredītiestāžu likuma grozījumiem</w:t>
            </w:r>
            <w:r w:rsidR="0029074C" w:rsidRPr="00BF6F97">
              <w:rPr>
                <w:rFonts w:eastAsia="Times New Roman"/>
                <w:lang w:eastAsia="lv-LV"/>
              </w:rPr>
              <w:t>, k</w:t>
            </w:r>
            <w:r w:rsidR="00224B13">
              <w:rPr>
                <w:rFonts w:eastAsia="Times New Roman"/>
                <w:lang w:eastAsia="lv-LV"/>
              </w:rPr>
              <w:t>ā</w:t>
            </w:r>
            <w:r w:rsidR="0029074C" w:rsidRPr="00BF6F97">
              <w:rPr>
                <w:rFonts w:eastAsia="Times New Roman"/>
                <w:lang w:eastAsia="lv-LV"/>
              </w:rPr>
              <w:t xml:space="preserve"> arī sniedz konkrētas</w:t>
            </w:r>
            <w:r w:rsidR="0029074C" w:rsidRPr="00D40355">
              <w:rPr>
                <w:rFonts w:eastAsia="Times New Roman"/>
                <w:lang w:eastAsia="lv-LV"/>
              </w:rPr>
              <w:t xml:space="preserve"> norādes par zemes gabalu atspoguļošanu pārskatos, līdz ar </w:t>
            </w:r>
            <w:r w:rsidR="00224B13">
              <w:rPr>
                <w:rFonts w:eastAsia="Times New Roman"/>
                <w:lang w:eastAsia="lv-LV"/>
              </w:rPr>
              <w:t>t</w:t>
            </w:r>
            <w:r w:rsidR="0029074C" w:rsidRPr="00D40355">
              <w:rPr>
                <w:rFonts w:eastAsia="Times New Roman"/>
                <w:lang w:eastAsia="lv-LV"/>
              </w:rPr>
              <w:t xml:space="preserve">o vienkāršojot kredītiestādēm </w:t>
            </w:r>
            <w:r w:rsidR="00DB5D84" w:rsidRPr="00D40355">
              <w:rPr>
                <w:rFonts w:eastAsia="Times New Roman"/>
                <w:lang w:eastAsia="lv-LV"/>
              </w:rPr>
              <w:t>pārskat</w:t>
            </w:r>
            <w:r w:rsidR="00000284">
              <w:rPr>
                <w:rFonts w:eastAsia="Times New Roman"/>
                <w:lang w:eastAsia="lv-LV"/>
              </w:rPr>
              <w:t>u</w:t>
            </w:r>
            <w:r w:rsidR="00DB5D84" w:rsidRPr="00D40355">
              <w:rPr>
                <w:rFonts w:eastAsia="Times New Roman"/>
                <w:lang w:eastAsia="lv-LV"/>
              </w:rPr>
              <w:t xml:space="preserve"> </w:t>
            </w:r>
            <w:r w:rsidR="0029074C" w:rsidRPr="00D40355">
              <w:rPr>
                <w:rFonts w:eastAsia="Times New Roman"/>
                <w:lang w:eastAsia="lv-LV"/>
              </w:rPr>
              <w:t>aizpildīšanu. Vienlai</w:t>
            </w:r>
            <w:r w:rsidR="00224B13">
              <w:rPr>
                <w:rFonts w:eastAsia="Times New Roman"/>
                <w:lang w:eastAsia="lv-LV"/>
              </w:rPr>
              <w:t>kus</w:t>
            </w:r>
            <w:r w:rsidR="0029074C" w:rsidRPr="00D40355">
              <w:rPr>
                <w:rFonts w:eastAsia="Times New Roman"/>
                <w:lang w:eastAsia="lv-LV"/>
              </w:rPr>
              <w:t xml:space="preserve"> </w:t>
            </w:r>
            <w:r w:rsidR="00A152AA" w:rsidRPr="00D40355">
              <w:rPr>
                <w:rFonts w:eastAsia="Times New Roman"/>
                <w:lang w:eastAsia="lv-LV"/>
              </w:rPr>
              <w:t>kredītiestādēm FINREP snie</w:t>
            </w:r>
            <w:r w:rsidR="00000284">
              <w:rPr>
                <w:rFonts w:eastAsia="Times New Roman"/>
                <w:lang w:eastAsia="lv-LV"/>
              </w:rPr>
              <w:t>dzamās informācijas</w:t>
            </w:r>
            <w:r w:rsidR="00A152AA" w:rsidRPr="00D40355">
              <w:rPr>
                <w:rFonts w:eastAsia="Times New Roman"/>
                <w:lang w:eastAsia="lv-LV"/>
              </w:rPr>
              <w:t xml:space="preserve"> </w:t>
            </w:r>
            <w:r w:rsidR="00D07EE1">
              <w:rPr>
                <w:rFonts w:eastAsia="Times New Roman"/>
                <w:lang w:eastAsia="lv-LV"/>
              </w:rPr>
              <w:t xml:space="preserve">apjoms </w:t>
            </w:r>
            <w:r w:rsidR="00A152AA" w:rsidRPr="00D40355">
              <w:rPr>
                <w:rFonts w:eastAsia="Times New Roman"/>
                <w:lang w:eastAsia="lv-LV"/>
              </w:rPr>
              <w:t xml:space="preserve">individuālajā līmenī </w:t>
            </w:r>
            <w:r w:rsidR="00224B13" w:rsidRPr="00D40355">
              <w:rPr>
                <w:rFonts w:eastAsia="Times New Roman"/>
                <w:lang w:eastAsia="lv-LV"/>
              </w:rPr>
              <w:t xml:space="preserve">tiek </w:t>
            </w:r>
            <w:r w:rsidR="00224B13">
              <w:rPr>
                <w:rFonts w:eastAsia="Times New Roman"/>
                <w:lang w:eastAsia="lv-LV"/>
              </w:rPr>
              <w:t xml:space="preserve">salāgots </w:t>
            </w:r>
            <w:r w:rsidR="00A152AA" w:rsidRPr="00D40355">
              <w:rPr>
                <w:rFonts w:eastAsia="Times New Roman"/>
                <w:lang w:eastAsia="lv-LV"/>
              </w:rPr>
              <w:t xml:space="preserve">ar prasībām pārskatu sniegšanai konsolidācijas grupas līmenī, kā arī </w:t>
            </w:r>
            <w:r w:rsidR="00000284">
              <w:rPr>
                <w:rFonts w:eastAsia="Times New Roman"/>
                <w:lang w:eastAsia="lv-LV"/>
              </w:rPr>
              <w:t xml:space="preserve">tiek </w:t>
            </w:r>
            <w:r w:rsidR="00A152AA" w:rsidRPr="00D40355">
              <w:rPr>
                <w:rFonts w:eastAsia="Times New Roman"/>
                <w:lang w:eastAsia="lv-LV"/>
              </w:rPr>
              <w:t xml:space="preserve">samazināts </w:t>
            </w:r>
            <w:r w:rsidR="00D40355">
              <w:rPr>
                <w:rFonts w:eastAsia="Times New Roman"/>
                <w:lang w:eastAsia="lv-LV"/>
              </w:rPr>
              <w:t>trešo personu līdzekļu pārskata</w:t>
            </w:r>
            <w:r w:rsidR="00A152AA" w:rsidRPr="00D40355">
              <w:rPr>
                <w:rFonts w:eastAsia="Times New Roman"/>
                <w:lang w:eastAsia="lv-LV"/>
              </w:rPr>
              <w:t xml:space="preserve"> sniegšanas periodiskums, </w:t>
            </w:r>
            <w:r w:rsidR="0029074C" w:rsidRPr="00D40355">
              <w:rPr>
                <w:rFonts w:eastAsia="Times New Roman"/>
                <w:lang w:eastAsia="lv-LV"/>
              </w:rPr>
              <w:t xml:space="preserve">tādējādi samazinot </w:t>
            </w:r>
            <w:r w:rsidR="00224B13" w:rsidRPr="00D40355">
              <w:rPr>
                <w:rFonts w:eastAsia="Times New Roman"/>
                <w:lang w:eastAsia="lv-LV"/>
              </w:rPr>
              <w:t xml:space="preserve">kredītiestādēm </w:t>
            </w:r>
            <w:r w:rsidR="009E2024">
              <w:rPr>
                <w:rFonts w:eastAsia="Times New Roman"/>
                <w:lang w:eastAsia="lv-LV"/>
              </w:rPr>
              <w:t xml:space="preserve">datu ziņošanas </w:t>
            </w:r>
            <w:r w:rsidR="0029074C" w:rsidRPr="00D40355">
              <w:rPr>
                <w:rFonts w:eastAsia="Times New Roman"/>
                <w:lang w:eastAsia="lv-LV"/>
              </w:rPr>
              <w:t>slogu.</w:t>
            </w:r>
          </w:p>
          <w:p w14:paraId="0F6C46D6" w14:textId="5B310FBC" w:rsidR="00804161" w:rsidRPr="00D40355" w:rsidRDefault="00804161" w:rsidP="00BA2A0D">
            <w:pPr>
              <w:pStyle w:val="Default"/>
              <w:spacing w:after="120"/>
              <w:jc w:val="both"/>
              <w:rPr>
                <w:rFonts w:eastAsia="Times New Roman"/>
                <w:lang w:eastAsia="lv-LV"/>
              </w:rPr>
            </w:pPr>
            <w:r w:rsidRPr="00804161">
              <w:rPr>
                <w:rFonts w:eastAsia="Times New Roman"/>
                <w:lang w:eastAsia="lv-LV"/>
              </w:rPr>
              <w:t xml:space="preserve">Līdz ar to tiek uzlabota uzņēmējdarbības vide, jo mazākas prasības </w:t>
            </w:r>
            <w:r w:rsidRPr="00725762">
              <w:rPr>
                <w:rFonts w:eastAsia="Times New Roman"/>
                <w:lang w:eastAsia="lv-LV"/>
              </w:rPr>
              <w:t>atvieglo uzņēmumu darbību</w:t>
            </w:r>
            <w:r w:rsidRPr="00804161">
              <w:rPr>
                <w:rFonts w:eastAsia="Times New Roman"/>
                <w:lang w:eastAsia="lv-LV"/>
              </w:rPr>
              <w:t>, kā arī tiek stiprināta sabiedrības jeb šajā gadījumā finanšu tirgus dalībnieku uzticēšanās valsts pārvaldei</w:t>
            </w:r>
            <w:r w:rsidR="00401121">
              <w:rPr>
                <w:rFonts w:eastAsia="Times New Roman"/>
                <w:lang w:eastAsia="lv-LV"/>
              </w:rPr>
              <w:t> </w:t>
            </w:r>
            <w:r w:rsidRPr="00804161">
              <w:rPr>
                <w:rFonts w:eastAsia="Times New Roman"/>
                <w:lang w:eastAsia="lv-LV"/>
              </w:rPr>
              <w:t>– ar saprotamāku, efektīvāku un mazāk birokrātisku valsts pārvaldi.</w:t>
            </w:r>
          </w:p>
          <w:p w14:paraId="29E6F5B9" w14:textId="19B2022A" w:rsidR="00C071E2" w:rsidRPr="00D40355" w:rsidRDefault="007F2988" w:rsidP="00BA2A0D">
            <w:pPr>
              <w:pStyle w:val="Default"/>
              <w:spacing w:after="120"/>
              <w:jc w:val="both"/>
              <w:rPr>
                <w:rFonts w:eastAsia="Times New Roman"/>
                <w:lang w:eastAsia="lv-LV"/>
              </w:rPr>
            </w:pPr>
            <w:r w:rsidRPr="00D40355">
              <w:rPr>
                <w:rFonts w:eastAsia="Times New Roman"/>
                <w:lang w:eastAsia="lv-LV"/>
              </w:rPr>
              <w:t xml:space="preserve">Noteikumu </w:t>
            </w:r>
            <w:r w:rsidR="5BCFDC2B" w:rsidRPr="00D40355">
              <w:rPr>
                <w:rFonts w:eastAsia="Times New Roman"/>
                <w:lang w:eastAsia="lv-LV"/>
              </w:rPr>
              <w:t>projekta</w:t>
            </w:r>
            <w:r w:rsidRPr="00D40355">
              <w:rPr>
                <w:rFonts w:eastAsia="Times New Roman"/>
                <w:lang w:eastAsia="lv-LV"/>
              </w:rPr>
              <w:t xml:space="preserve"> tvērumā ietilpstošie pārskati</w:t>
            </w:r>
            <w:r w:rsidR="00517E8B" w:rsidRPr="00D40355">
              <w:rPr>
                <w:rFonts w:eastAsia="Times New Roman"/>
                <w:lang w:eastAsia="lv-LV"/>
              </w:rPr>
              <w:t xml:space="preserve"> vai tajos iekļautā informācija</w:t>
            </w:r>
            <w:r w:rsidRPr="00D40355">
              <w:rPr>
                <w:rFonts w:eastAsia="Times New Roman"/>
                <w:lang w:eastAsia="lv-LV"/>
              </w:rPr>
              <w:t xml:space="preserve"> jau šobrīd tiek regulāri saņemt</w:t>
            </w:r>
            <w:r w:rsidR="00C05B30" w:rsidRPr="00D40355">
              <w:rPr>
                <w:rFonts w:eastAsia="Times New Roman"/>
                <w:lang w:eastAsia="lv-LV"/>
              </w:rPr>
              <w:t>a</w:t>
            </w:r>
            <w:r w:rsidRPr="00D40355">
              <w:rPr>
                <w:rFonts w:eastAsia="Times New Roman"/>
                <w:lang w:eastAsia="lv-LV"/>
              </w:rPr>
              <w:t xml:space="preserve"> no kredītiestādēm</w:t>
            </w:r>
            <w:r w:rsidR="00CC5581">
              <w:rPr>
                <w:rFonts w:eastAsia="Times New Roman"/>
                <w:lang w:eastAsia="lv-LV"/>
              </w:rPr>
              <w:t xml:space="preserve"> vai dalībvalstu kredītiestāžu filiālēm</w:t>
            </w:r>
            <w:r w:rsidRPr="00D40355">
              <w:rPr>
                <w:rFonts w:eastAsia="Times New Roman"/>
                <w:lang w:eastAsia="lv-LV"/>
              </w:rPr>
              <w:t xml:space="preserve">, </w:t>
            </w:r>
            <w:r w:rsidRPr="000650B1">
              <w:rPr>
                <w:rFonts w:eastAsia="Times New Roman"/>
                <w:lang w:eastAsia="lv-LV"/>
              </w:rPr>
              <w:t>līdz ar to dati</w:t>
            </w:r>
            <w:r w:rsidR="00341646" w:rsidRPr="000650B1">
              <w:rPr>
                <w:rFonts w:eastAsia="Times New Roman"/>
                <w:lang w:eastAsia="lv-LV"/>
              </w:rPr>
              <w:t xml:space="preserve"> </w:t>
            </w:r>
            <w:r w:rsidRPr="000650B1">
              <w:rPr>
                <w:rFonts w:eastAsia="Times New Roman"/>
                <w:lang w:eastAsia="lv-LV"/>
              </w:rPr>
              <w:t xml:space="preserve">pārskatu sagatavošanai jau šobrīd ir pieejami un </w:t>
            </w:r>
            <w:r w:rsidR="00341646" w:rsidRPr="000650B1">
              <w:rPr>
                <w:rFonts w:eastAsia="Times New Roman"/>
                <w:lang w:eastAsia="lv-LV"/>
              </w:rPr>
              <w:t>noteikumu projekts</w:t>
            </w:r>
            <w:r w:rsidRPr="000650B1">
              <w:rPr>
                <w:rFonts w:eastAsia="Times New Roman"/>
                <w:lang w:eastAsia="lv-LV"/>
              </w:rPr>
              <w:t xml:space="preserve"> neprasa kredītiestādēm</w:t>
            </w:r>
            <w:r w:rsidR="00C676A5">
              <w:rPr>
                <w:rFonts w:eastAsia="Times New Roman"/>
                <w:lang w:eastAsia="lv-LV"/>
              </w:rPr>
              <w:t xml:space="preserve"> vai </w:t>
            </w:r>
            <w:r w:rsidR="00C676A5">
              <w:rPr>
                <w:rFonts w:eastAsia="Times New Roman"/>
                <w:lang w:eastAsia="lv-LV"/>
              </w:rPr>
              <w:lastRenderedPageBreak/>
              <w:t>dalībvalstu kredītiestāžu filiālēm</w:t>
            </w:r>
            <w:r w:rsidRPr="000650B1">
              <w:rPr>
                <w:rFonts w:eastAsia="Times New Roman"/>
                <w:lang w:eastAsia="lv-LV"/>
              </w:rPr>
              <w:t xml:space="preserve"> ieviest jaunus procesus</w:t>
            </w:r>
            <w:r w:rsidR="00C420E2" w:rsidRPr="000650B1">
              <w:rPr>
                <w:rFonts w:eastAsia="Times New Roman"/>
                <w:lang w:eastAsia="lv-LV"/>
              </w:rPr>
              <w:t xml:space="preserve"> datu </w:t>
            </w:r>
            <w:r w:rsidR="00894D21" w:rsidRPr="000650B1">
              <w:rPr>
                <w:rFonts w:eastAsia="Times New Roman"/>
                <w:lang w:eastAsia="lv-LV"/>
              </w:rPr>
              <w:t xml:space="preserve">vākšanai un </w:t>
            </w:r>
            <w:r w:rsidR="00C420E2" w:rsidRPr="000650B1">
              <w:rPr>
                <w:rFonts w:eastAsia="Times New Roman"/>
                <w:lang w:eastAsia="lv-LV"/>
              </w:rPr>
              <w:t>uzkrāšanai</w:t>
            </w:r>
            <w:r w:rsidR="006D46F9">
              <w:rPr>
                <w:rFonts w:eastAsia="Times New Roman"/>
                <w:lang w:eastAsia="lv-LV"/>
              </w:rPr>
              <w:t xml:space="preserve">, izņemot </w:t>
            </w:r>
            <w:r w:rsidR="00224B13">
              <w:rPr>
                <w:rFonts w:eastAsia="Times New Roman"/>
                <w:lang w:eastAsia="lv-LV"/>
              </w:rPr>
              <w:t xml:space="preserve">datus </w:t>
            </w:r>
            <w:r w:rsidR="006D46F9">
              <w:rPr>
                <w:rFonts w:eastAsia="Times New Roman"/>
                <w:lang w:eastAsia="lv-LV"/>
              </w:rPr>
              <w:t xml:space="preserve">par riska darījumiem ar personām, kas saistītas ar kredītiestādi, ņemot vērā, ka minēto personu loks paplašināts ar partneriem, ar kuriem reģistrēta </w:t>
            </w:r>
            <w:r w:rsidR="006D46F9" w:rsidRPr="000650B1">
              <w:rPr>
                <w:rFonts w:eastAsia="Times New Roman"/>
                <w:lang w:eastAsia="lv-LV"/>
              </w:rPr>
              <w:t>partnerība</w:t>
            </w:r>
            <w:r w:rsidRPr="000650B1">
              <w:rPr>
                <w:rFonts w:eastAsia="Times New Roman"/>
                <w:lang w:eastAsia="lv-LV"/>
              </w:rPr>
              <w:t>.</w:t>
            </w:r>
          </w:p>
        </w:tc>
      </w:tr>
      <w:tr w:rsidR="006C3828" w:rsidRPr="00D40355" w14:paraId="1B86501B" w14:textId="77777777" w:rsidTr="00D53AC5">
        <w:trPr>
          <w:trHeight w:val="952"/>
        </w:trPr>
        <w:tc>
          <w:tcPr>
            <w:tcW w:w="987" w:type="pct"/>
            <w:hideMark/>
          </w:tcPr>
          <w:p w14:paraId="2DDBFB53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bookmarkStart w:id="5" w:name="_Hlk129966404"/>
            <w:r w:rsidRPr="00D40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Spēkā stāšanās</w:t>
            </w:r>
          </w:p>
          <w:bookmarkEnd w:id="5"/>
          <w:p w14:paraId="6B4568BB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4013" w:type="pct"/>
          </w:tcPr>
          <w:p w14:paraId="60CFB602" w14:textId="06D4D956" w:rsidR="006C3828" w:rsidRPr="00D40355" w:rsidRDefault="006C3828" w:rsidP="00D53AC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 stāsies spēkā 202</w:t>
            </w:r>
            <w:r w:rsidR="00361111"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</w:t>
            </w:r>
            <w:r w:rsidR="00DB5D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361111"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1.</w:t>
            </w:r>
            <w:r w:rsidR="00DB5D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361111"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janvārī. </w:t>
            </w:r>
            <w:r w:rsidR="00361111" w:rsidRPr="00BF6F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Grozījumi </w:t>
            </w:r>
            <w:r w:rsidR="00D40355" w:rsidRPr="00BF6F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Nr.</w:t>
            </w:r>
            <w:r w:rsidR="00DB5D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D40355" w:rsidRPr="00BF6F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282</w:t>
            </w:r>
            <w:r w:rsidR="00361111" w:rsidRPr="00BF6F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1.4.</w:t>
            </w:r>
            <w:r w:rsidR="00DB5D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40112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apakš</w:t>
            </w:r>
            <w:r w:rsidR="00361111" w:rsidRPr="00BF6F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punktā </w:t>
            </w:r>
            <w:r w:rsidR="0040112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un 9. pielikumā </w:t>
            </w:r>
            <w:r w:rsidR="00507E49" w:rsidRPr="00D07E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stāsies spēkā </w:t>
            </w:r>
            <w:r w:rsidR="00507E49" w:rsidRPr="00BF6F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vienlaikus</w:t>
            </w:r>
            <w:r w:rsidR="00507E49" w:rsidRPr="00507E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ar atbilstošiem grozījumiem Kredītiestāžu likuma 43.</w:t>
            </w:r>
            <w:r w:rsidR="00DB5D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507E49" w:rsidRPr="00507E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panta pirmajā </w:t>
            </w:r>
            <w:r w:rsidR="00507E49" w:rsidRPr="00BF6F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daļā</w:t>
            </w:r>
            <w:r w:rsidR="000002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507E49" w:rsidRPr="00D07E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0002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</w:t>
            </w:r>
            <w:r w:rsidR="00BF6F97" w:rsidRPr="00BF6F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iska darījumus, kas saistīti ar partneriem, ar kuriem reģistrēta partnerība, kredītiestāde iekļaus "Pārskatā par riska darījumiem ar personām, kas saistītas ar kredītiestādi", ja riska darījums noslēgts pēc 2026.</w:t>
            </w:r>
            <w:r w:rsidR="00DB5D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BF6F97" w:rsidRPr="00BF6F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1.</w:t>
            </w:r>
            <w:r w:rsidR="00DB5D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BF6F97" w:rsidRPr="00BF6F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jūlija</w:t>
            </w:r>
            <w:r w:rsidR="00D40355" w:rsidRPr="00BF6F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6C3828" w:rsidRPr="00D40355" w14:paraId="0DEA2EE8" w14:textId="77777777">
        <w:trPr>
          <w:trHeight w:val="567"/>
        </w:trPr>
        <w:tc>
          <w:tcPr>
            <w:tcW w:w="987" w:type="pct"/>
            <w:hideMark/>
          </w:tcPr>
          <w:p w14:paraId="0ABBEC6F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40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Ietekme uz Latvijas Bankas budžetu</w:t>
            </w:r>
          </w:p>
          <w:p w14:paraId="666A22E2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4013" w:type="pct"/>
          </w:tcPr>
          <w:p w14:paraId="10C919A9" w14:textId="77777777" w:rsidR="006C3828" w:rsidRPr="00D40355" w:rsidRDefault="006C3828" w:rsidP="00D53AC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Normatīvā akta izdošana neietekmēs Latvijas Bankas budžeta ieņēmumus un izdevumus.</w:t>
            </w:r>
          </w:p>
        </w:tc>
      </w:tr>
      <w:tr w:rsidR="006C3828" w:rsidRPr="00D40355" w14:paraId="0F12E876" w14:textId="77777777">
        <w:trPr>
          <w:trHeight w:val="567"/>
        </w:trPr>
        <w:tc>
          <w:tcPr>
            <w:tcW w:w="987" w:type="pct"/>
            <w:hideMark/>
          </w:tcPr>
          <w:p w14:paraId="6C162AD5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bookmarkStart w:id="6" w:name="_Hlk129966385"/>
            <w:r w:rsidRPr="00D40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Administratīvā sloga un izmaksu novērtējums (tirgus dalībniekiem)</w:t>
            </w:r>
          </w:p>
          <w:bookmarkEnd w:id="6"/>
          <w:p w14:paraId="29762232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4013" w:type="pct"/>
          </w:tcPr>
          <w:p w14:paraId="0FEF9B13" w14:textId="120C17CC" w:rsidR="006C3828" w:rsidRDefault="00361111" w:rsidP="006D46F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Salīdzinājumā ar spēkā esošajām normām noteikumu projekts </w:t>
            </w:r>
            <w:r w:rsidRPr="000650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neparedz jaunas prasības finanšu tirgus dalībniekiem</w:t>
            </w:r>
            <w:r w:rsidR="006D46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izņemot</w:t>
            </w:r>
            <w:r w:rsidR="002703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prasības</w:t>
            </w:r>
            <w:r w:rsidR="006D46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kredītiestādēm</w:t>
            </w:r>
            <w:r w:rsidR="00BF6F97" w:rsidRPr="000650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attiecībā</w:t>
            </w:r>
            <w:r w:rsidR="00BF6F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uz personu</w:t>
            </w:r>
            <w:r w:rsidR="000650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kas saistītas ar kredītiestādi, loka paplašināšanu ar partneriem, ar kuriem reģistrēta partnerība</w:t>
            </w:r>
            <w:r w:rsidR="006D46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Šāda prasība radīs </w:t>
            </w:r>
            <w:r w:rsidR="006D46F9" w:rsidRPr="006D46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papildu administratīvo slogu un izmaksas </w:t>
            </w:r>
            <w:r w:rsidR="006D46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kredītiestādēm, bet tās ieviešana ir saistīta ar L</w:t>
            </w:r>
            <w:r w:rsidR="000650B1" w:rsidRPr="000650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atvijā </w:t>
            </w:r>
            <w:r w:rsidR="002703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pastāvošo</w:t>
            </w:r>
            <w:r w:rsidR="00270369" w:rsidRPr="000650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0650B1" w:rsidRPr="000650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tiesisk</w:t>
            </w:r>
            <w:r w:rsidR="000650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</w:t>
            </w:r>
            <w:r w:rsidR="000650B1" w:rsidRPr="000650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regulējum</w:t>
            </w:r>
            <w:r w:rsidR="000650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u, kas</w:t>
            </w:r>
            <w:r w:rsidR="000650B1" w:rsidRPr="000650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ļauj reģistrēt partnerību</w:t>
            </w: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6D46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14:paraId="7FDE5294" w14:textId="1C52F9AB" w:rsidR="006D46F9" w:rsidRPr="00D40355" w:rsidRDefault="006D46F9" w:rsidP="006D46F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D46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Administratīvais slogs un izmaksas precīzi nav aprēķināmas, jo tās atkarīgas no vairākiem faktoriem, piemēram, no tā, vai noteikumu projektā paredzēto prasību ieviešanai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kredītiestāde</w:t>
            </w:r>
            <w:r w:rsidRPr="006D46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izmantos iekšējos vai ārējos resursus</w:t>
            </w:r>
            <w:r w:rsidR="002703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6D46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citiem faktoriem.</w:t>
            </w:r>
          </w:p>
        </w:tc>
      </w:tr>
      <w:tr w:rsidR="006C3828" w:rsidRPr="00D40355" w14:paraId="7C375F90" w14:textId="77777777">
        <w:trPr>
          <w:trHeight w:val="567"/>
        </w:trPr>
        <w:tc>
          <w:tcPr>
            <w:tcW w:w="987" w:type="pct"/>
            <w:hideMark/>
          </w:tcPr>
          <w:p w14:paraId="636CB189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40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Saistītie dokumenti</w:t>
            </w:r>
          </w:p>
          <w:p w14:paraId="5BE3B739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4013" w:type="pct"/>
          </w:tcPr>
          <w:p w14:paraId="7E3550BE" w14:textId="637F123F" w:rsidR="00894D21" w:rsidRPr="00BF6F97" w:rsidRDefault="00894D21" w:rsidP="00D5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97">
              <w:rPr>
                <w:rFonts w:ascii="Times New Roman" w:hAnsi="Times New Roman" w:cs="Times New Roman"/>
                <w:sz w:val="24"/>
                <w:szCs w:val="24"/>
              </w:rPr>
              <w:t>Ar noteikumu projektu saistītie dokumenti:</w:t>
            </w:r>
          </w:p>
          <w:p w14:paraId="4235199F" w14:textId="049C60AC" w:rsidR="006A1E74" w:rsidRPr="00BF6F97" w:rsidRDefault="006A1E74" w:rsidP="00894D2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Kredītiestāžu likums;</w:t>
            </w:r>
          </w:p>
          <w:p w14:paraId="1F294DB4" w14:textId="56A2E674" w:rsidR="006A1E74" w:rsidRDefault="006A1E74" w:rsidP="00894D2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97">
              <w:rPr>
                <w:rFonts w:ascii="Times New Roman" w:hAnsi="Times New Roman" w:cs="Times New Roman"/>
                <w:sz w:val="24"/>
                <w:szCs w:val="24"/>
              </w:rPr>
              <w:t>Latvijas Bankas likums;</w:t>
            </w:r>
          </w:p>
          <w:p w14:paraId="1CC649B5" w14:textId="04357CA9" w:rsidR="006E7953" w:rsidRPr="00BF6F97" w:rsidRDefault="006E7953" w:rsidP="00BA2A0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likumprojekts "Grozījumi Kredītiestāžu likumā" </w:t>
            </w:r>
            <w:r w:rsidR="00BA2A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(Nr. </w:t>
            </w:r>
            <w:hyperlink r:id="rId11" w:history="1">
              <w:r w:rsidRPr="006E795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25-TA-1075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56EB8194" w14:textId="7F6EF1DF" w:rsidR="0087588F" w:rsidRPr="00BF6F97" w:rsidRDefault="002D70BB" w:rsidP="00894D2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E05">
              <w:rPr>
                <w:rFonts w:ascii="Times New Roman" w:hAnsi="Times New Roman" w:cs="Times New Roman"/>
                <w:sz w:val="24"/>
                <w:szCs w:val="24"/>
              </w:rPr>
              <w:t>ES regula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40E05">
              <w:rPr>
                <w:rFonts w:ascii="Times New Roman" w:hAnsi="Times New Roman" w:cs="Times New Roman"/>
                <w:sz w:val="24"/>
                <w:szCs w:val="24"/>
              </w:rPr>
              <w:t>2024/3117</w:t>
            </w:r>
            <w:r w:rsidR="0087588F" w:rsidRPr="00BF6F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BE81602" w14:textId="70B2821F" w:rsidR="0033661A" w:rsidRDefault="009F4DED" w:rsidP="00894D2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F97">
              <w:rPr>
                <w:rFonts w:ascii="Times New Roman" w:hAnsi="Times New Roman" w:cs="Times New Roman"/>
                <w:sz w:val="24"/>
                <w:szCs w:val="24"/>
              </w:rPr>
              <w:t>Latvijas Bankas 2022.</w:t>
            </w:r>
            <w:r w:rsidR="00F01D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F6F97">
              <w:rPr>
                <w:rFonts w:ascii="Times New Roman" w:hAnsi="Times New Roman" w:cs="Times New Roman"/>
                <w:sz w:val="24"/>
                <w:szCs w:val="24"/>
              </w:rPr>
              <w:t xml:space="preserve">gada </w:t>
            </w:r>
            <w:r w:rsidR="00A90189" w:rsidRPr="00BF6F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BF6F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01D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90189" w:rsidRPr="00BF6F97">
              <w:rPr>
                <w:rFonts w:ascii="Times New Roman" w:hAnsi="Times New Roman" w:cs="Times New Roman"/>
                <w:sz w:val="24"/>
                <w:szCs w:val="24"/>
              </w:rPr>
              <w:t>septembra</w:t>
            </w:r>
            <w:r w:rsidRPr="00BF6F97">
              <w:rPr>
                <w:rFonts w:ascii="Times New Roman" w:hAnsi="Times New Roman" w:cs="Times New Roman"/>
                <w:sz w:val="24"/>
                <w:szCs w:val="24"/>
              </w:rPr>
              <w:t xml:space="preserve"> noteikumi Nr.</w:t>
            </w:r>
            <w:r w:rsidR="00C86378" w:rsidRPr="00BF6F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F6F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0189" w:rsidRPr="00BF6F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BF6F97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="00A90189" w:rsidRPr="00BF6F97">
              <w:rPr>
                <w:rFonts w:ascii="Times New Roman" w:hAnsi="Times New Roman" w:cs="Times New Roman"/>
                <w:sz w:val="24"/>
                <w:szCs w:val="24"/>
              </w:rPr>
              <w:t>Statistisko datu par kredītiestāžu un citu monetāro finanšu iestāžu finansiālo stāvokli (MBP) sagatavošanas un iesniegšanas noteikumi</w:t>
            </w:r>
            <w:r w:rsidRPr="00BF6F97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  <w:r w:rsidR="00C67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A911AA" w14:textId="77777777" w:rsidR="00A7042D" w:rsidRDefault="00A7042D" w:rsidP="00A7042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Latvijas Bankas 2022. gada  24. oktobra noteikumi Nr. 226 "</w:t>
            </w:r>
            <w:r w:rsidRPr="00E3362E">
              <w:rPr>
                <w:rFonts w:ascii="Times New Roman" w:hAnsi="Times New Roman" w:cs="Times New Roman"/>
                <w:sz w:val="24"/>
                <w:szCs w:val="24"/>
              </w:rPr>
              <w:t>Noteikumi par elektronisko informācijas apmaiņu ar Latvijas Banku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";</w:t>
            </w:r>
          </w:p>
          <w:p w14:paraId="1CB7B4A1" w14:textId="58F059A8" w:rsidR="00A7042D" w:rsidRPr="00BF6F97" w:rsidRDefault="00A7042D" w:rsidP="00A7042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E05">
              <w:rPr>
                <w:rFonts w:ascii="Times New Roman" w:hAnsi="Times New Roman" w:cs="Times New Roman"/>
                <w:sz w:val="24"/>
                <w:szCs w:val="24"/>
              </w:rPr>
              <w:t>Komisijas 2024.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40E05">
              <w:rPr>
                <w:rFonts w:ascii="Times New Roman" w:hAnsi="Times New Roman" w:cs="Times New Roman"/>
                <w:sz w:val="24"/>
                <w:szCs w:val="24"/>
              </w:rPr>
              <w:t>gada 29.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40E05">
              <w:rPr>
                <w:rFonts w:ascii="Times New Roman" w:hAnsi="Times New Roman" w:cs="Times New Roman"/>
                <w:sz w:val="24"/>
                <w:szCs w:val="24"/>
              </w:rPr>
              <w:t>novembra īstenošanas regul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 (ES)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6A01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  <w:r w:rsidR="00EC6A01" w:rsidRPr="00F40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C6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40E05">
              <w:rPr>
                <w:rFonts w:ascii="Times New Roman" w:hAnsi="Times New Roman" w:cs="Times New Roman"/>
                <w:sz w:val="24"/>
                <w:szCs w:val="24"/>
              </w:rPr>
              <w:t>2024/3117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0E05">
              <w:rPr>
                <w:rFonts w:ascii="Times New Roman" w:hAnsi="Times New Roman" w:cs="Times New Roman"/>
                <w:sz w:val="24"/>
                <w:szCs w:val="24"/>
              </w:rPr>
              <w:t xml:space="preserve"> ar ko nosaka īstenošanas tehniskos standartus Eiropas Parlamenta un Padomes regulas (ES) 575/2013 piemērošanai attiecībā uz iestāžu sniegtajiem uzraudzības pārskatiem</w:t>
            </w:r>
          </w:p>
          <w:p w14:paraId="37E58BF7" w14:textId="228EC9D4" w:rsidR="0087588F" w:rsidRPr="00D64892" w:rsidRDefault="00A06E04" w:rsidP="00D64892">
            <w:pPr>
              <w:pStyle w:val="ListParagraph"/>
              <w:numPr>
                <w:ilvl w:val="0"/>
                <w:numId w:val="6"/>
              </w:numPr>
              <w:spacing w:after="120" w:line="240" w:lineRule="auto"/>
              <w:ind w:left="765" w:hanging="4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F6F97">
              <w:rPr>
                <w:rFonts w:ascii="Times New Roman" w:hAnsi="Times New Roman" w:cs="Times New Roman"/>
                <w:sz w:val="24"/>
                <w:szCs w:val="24"/>
              </w:rPr>
              <w:t>Eiropas Banku iestādes 2019. gada 9. decembra pamatnostādnes EBI/GL/2019/05 "</w:t>
            </w:r>
            <w:r w:rsidRPr="00BF6F97">
              <w:rPr>
                <w:rFonts w:ascii="Times New Roman" w:hAnsi="Times New Roman" w:cs="Times New Roman"/>
                <w:iCs/>
                <w:sz w:val="24"/>
                <w:szCs w:val="24"/>
              </w:rPr>
              <w:t>Pamatnostādnes par saskaņotām definīcijām un veidnēm kredītiestāžu finansēšanas plāniem saskaņā ar Eiropas Sistēmisko risku kolēģijas 2012. gada 20. decembra ieteikumu (ESRB/2012/2)</w:t>
            </w:r>
            <w:r w:rsidRPr="00BF6F9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B2773A" w:rsidRPr="00BF6F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C3828" w:rsidRPr="00D40355" w14:paraId="40B6FA4E" w14:textId="77777777">
        <w:trPr>
          <w:trHeight w:val="567"/>
        </w:trPr>
        <w:tc>
          <w:tcPr>
            <w:tcW w:w="987" w:type="pct"/>
            <w:hideMark/>
          </w:tcPr>
          <w:p w14:paraId="735A1989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40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Saskaņošana ar Eiropas Centrālo banku</w:t>
            </w:r>
          </w:p>
          <w:p w14:paraId="62929148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4013" w:type="pct"/>
          </w:tcPr>
          <w:p w14:paraId="2BDC6261" w14:textId="3CCFC56B" w:rsidR="006C3828" w:rsidRPr="00D40355" w:rsidRDefault="006C3828" w:rsidP="00D53AC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projektu nav nepieciešams saskaņot ar </w:t>
            </w:r>
            <w:r w:rsidR="000C0126"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</w:t>
            </w:r>
            <w:r w:rsidR="00894D21"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iropas </w:t>
            </w:r>
            <w:r w:rsidR="000C0126"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</w:t>
            </w:r>
            <w:r w:rsidR="00894D21"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entrālo banku</w:t>
            </w: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6C3828" w:rsidRPr="00D40355" w14:paraId="496F44FB" w14:textId="77777777">
        <w:trPr>
          <w:trHeight w:val="567"/>
        </w:trPr>
        <w:tc>
          <w:tcPr>
            <w:tcW w:w="987" w:type="pct"/>
            <w:hideMark/>
          </w:tcPr>
          <w:p w14:paraId="46AD5EB9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40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citām publiskām un privātām personām</w:t>
            </w:r>
          </w:p>
          <w:p w14:paraId="0417B7A0" w14:textId="77777777" w:rsidR="006C3828" w:rsidRPr="00D40355" w:rsidRDefault="006C3828" w:rsidP="00AD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4013" w:type="pct"/>
          </w:tcPr>
          <w:p w14:paraId="1CEC357E" w14:textId="680253C2" w:rsidR="006C3828" w:rsidRPr="00617AD4" w:rsidRDefault="00617AD4" w:rsidP="00D53AC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97A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 2025. gada 3. decembrī tika publicēts Latvijas Bankas tīmekļvietnes </w:t>
            </w:r>
            <w:r w:rsidR="00497AF9" w:rsidRPr="00497A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hyperlink r:id="rId12" w:tgtFrame="_blank" w:tooltip="http://www.bank.lv/" w:history="1">
              <w:r w:rsidR="00497AF9" w:rsidRPr="00497AF9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www.bank.lv</w:t>
              </w:r>
            </w:hyperlink>
            <w:r w:rsidR="00497AF9" w:rsidRPr="00497A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497A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sadaļas "Tiesību akti" </w:t>
            </w:r>
            <w:proofErr w:type="spellStart"/>
            <w:r w:rsidRPr="00497A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apakšsadaļā</w:t>
            </w:r>
            <w:proofErr w:type="spellEnd"/>
            <w:r w:rsidRPr="00497A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"Sabiedrības līdzdalība", un par to līdz 2025. gada 10. decembrim bija iespējama sabiedrības līdzdalība. </w:t>
            </w:r>
            <w:r w:rsidR="006C3828" w:rsidRPr="00617A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14:paraId="2CCCD760" w14:textId="42F1A6FE" w:rsidR="006C3828" w:rsidRPr="00D40355" w:rsidRDefault="006C3828" w:rsidP="00D53AC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Vienlaikus par noteikumu projektu un notiekošo sabiedrības līdzdalību individuāli tik</w:t>
            </w:r>
            <w:r w:rsidR="00567FE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informēta Latvijas Finanšu nozares asociācija, kā arī ārpus </w:t>
            </w:r>
            <w:r w:rsidR="00F449DB"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asociācijas </w:t>
            </w: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esoš</w:t>
            </w:r>
            <w:r w:rsidR="00567FE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ās bankas</w:t>
            </w: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kur</w:t>
            </w:r>
            <w:r w:rsidR="00567FE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ām</w:t>
            </w:r>
            <w:r w:rsidRPr="00D403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būs saistoša noteikumu projektā ietverto prasību izpilde.</w:t>
            </w:r>
          </w:p>
        </w:tc>
      </w:tr>
      <w:tr w:rsidR="006C3828" w:rsidRPr="00D40355" w14:paraId="61D339D9" w14:textId="77777777">
        <w:trPr>
          <w:trHeight w:val="567"/>
        </w:trPr>
        <w:tc>
          <w:tcPr>
            <w:tcW w:w="987" w:type="pct"/>
            <w:hideMark/>
          </w:tcPr>
          <w:p w14:paraId="4CB6397C" w14:textId="77777777" w:rsidR="006C3828" w:rsidRPr="00BF5B2F" w:rsidRDefault="006C3828" w:rsidP="00BF5B2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F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Saskaņošanas rezultāti</w:t>
            </w:r>
          </w:p>
          <w:p w14:paraId="05C81DE5" w14:textId="77777777" w:rsidR="006C3828" w:rsidRPr="00BF5B2F" w:rsidRDefault="006C3828" w:rsidP="00BF5B2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4013" w:type="pct"/>
          </w:tcPr>
          <w:p w14:paraId="692F977B" w14:textId="2AE5F34F" w:rsidR="006C3828" w:rsidRPr="00BF5B2F" w:rsidRDefault="00BF5B2F" w:rsidP="00FA749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lv-LV"/>
              </w:rPr>
            </w:pPr>
            <w:r w:rsidRPr="00FA749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Saskaņošanas procesā un sabiedrības līdzdalības rezultātā par noteikumu projektu netika saņemti priekšlikumi vai iebildumi. Līdz ar to noteikumu projekts ir saskaņots bez priekšlikumiem vai iebildumiem.</w:t>
            </w:r>
          </w:p>
        </w:tc>
      </w:tr>
    </w:tbl>
    <w:p w14:paraId="086EF7E5" w14:textId="77777777" w:rsidR="00A62B63" w:rsidRPr="00D40355" w:rsidRDefault="00A62B63" w:rsidP="00D53A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62B63" w:rsidRPr="00D40355">
      <w:headerReference w:type="default" r:id="rId13"/>
      <w:pgSz w:w="11906" w:h="16838" w:code="9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FD818" w14:textId="77777777" w:rsidR="00F03DA1" w:rsidRDefault="00F03DA1" w:rsidP="006C3828">
      <w:pPr>
        <w:spacing w:after="0" w:line="240" w:lineRule="auto"/>
      </w:pPr>
      <w:r>
        <w:separator/>
      </w:r>
    </w:p>
  </w:endnote>
  <w:endnote w:type="continuationSeparator" w:id="0">
    <w:p w14:paraId="20595336" w14:textId="77777777" w:rsidR="00F03DA1" w:rsidRDefault="00F03DA1" w:rsidP="006C3828">
      <w:pPr>
        <w:spacing w:after="0" w:line="240" w:lineRule="auto"/>
      </w:pPr>
      <w:r>
        <w:continuationSeparator/>
      </w:r>
    </w:p>
  </w:endnote>
  <w:endnote w:type="continuationNotice" w:id="1">
    <w:p w14:paraId="5098ECD1" w14:textId="77777777" w:rsidR="00F03DA1" w:rsidRDefault="00F03D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2CF3F" w14:textId="77777777" w:rsidR="00F03DA1" w:rsidRDefault="00F03DA1" w:rsidP="006C3828">
      <w:pPr>
        <w:spacing w:after="0" w:line="240" w:lineRule="auto"/>
      </w:pPr>
      <w:r>
        <w:separator/>
      </w:r>
    </w:p>
  </w:footnote>
  <w:footnote w:type="continuationSeparator" w:id="0">
    <w:p w14:paraId="787A956A" w14:textId="77777777" w:rsidR="00F03DA1" w:rsidRDefault="00F03DA1" w:rsidP="006C3828">
      <w:pPr>
        <w:spacing w:after="0" w:line="240" w:lineRule="auto"/>
      </w:pPr>
      <w:r>
        <w:continuationSeparator/>
      </w:r>
    </w:p>
  </w:footnote>
  <w:footnote w:type="continuationNotice" w:id="1">
    <w:p w14:paraId="01FF0875" w14:textId="77777777" w:rsidR="00F03DA1" w:rsidRDefault="00F03D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8"/>
        <w:szCs w:val="28"/>
      </w:rPr>
      <w:id w:val="-1793890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6899049" w14:textId="77777777" w:rsidR="00680366" w:rsidRPr="00D53AC5" w:rsidRDefault="00680366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53AC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53AC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53AC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53AC5">
          <w:rPr>
            <w:rFonts w:ascii="Times New Roman" w:hAnsi="Times New Roman" w:cs="Times New Roman"/>
            <w:sz w:val="24"/>
            <w:szCs w:val="24"/>
          </w:rPr>
          <w:t>2</w:t>
        </w:r>
        <w:r w:rsidRPr="00D53AC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6711C9B" w14:textId="77777777" w:rsidR="00680366" w:rsidRDefault="006803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642A90"/>
    <w:multiLevelType w:val="hybridMultilevel"/>
    <w:tmpl w:val="62A23DD4"/>
    <w:lvl w:ilvl="0" w:tplc="04260011">
      <w:start w:val="1"/>
      <w:numFmt w:val="decimal"/>
      <w:lvlText w:val="%1)"/>
      <w:lvlJc w:val="left"/>
      <w:pPr>
        <w:ind w:left="333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4056" w:hanging="360"/>
      </w:pPr>
    </w:lvl>
    <w:lvl w:ilvl="2" w:tplc="0426001B" w:tentative="1">
      <w:start w:val="1"/>
      <w:numFmt w:val="lowerRoman"/>
      <w:lvlText w:val="%3."/>
      <w:lvlJc w:val="right"/>
      <w:pPr>
        <w:ind w:left="4776" w:hanging="180"/>
      </w:pPr>
    </w:lvl>
    <w:lvl w:ilvl="3" w:tplc="0426000F" w:tentative="1">
      <w:start w:val="1"/>
      <w:numFmt w:val="decimal"/>
      <w:lvlText w:val="%4."/>
      <w:lvlJc w:val="left"/>
      <w:pPr>
        <w:ind w:left="5496" w:hanging="360"/>
      </w:pPr>
    </w:lvl>
    <w:lvl w:ilvl="4" w:tplc="04260019" w:tentative="1">
      <w:start w:val="1"/>
      <w:numFmt w:val="lowerLetter"/>
      <w:lvlText w:val="%5."/>
      <w:lvlJc w:val="left"/>
      <w:pPr>
        <w:ind w:left="6216" w:hanging="360"/>
      </w:pPr>
    </w:lvl>
    <w:lvl w:ilvl="5" w:tplc="0426001B" w:tentative="1">
      <w:start w:val="1"/>
      <w:numFmt w:val="lowerRoman"/>
      <w:lvlText w:val="%6."/>
      <w:lvlJc w:val="right"/>
      <w:pPr>
        <w:ind w:left="6936" w:hanging="180"/>
      </w:pPr>
    </w:lvl>
    <w:lvl w:ilvl="6" w:tplc="0426000F" w:tentative="1">
      <w:start w:val="1"/>
      <w:numFmt w:val="decimal"/>
      <w:lvlText w:val="%7."/>
      <w:lvlJc w:val="left"/>
      <w:pPr>
        <w:ind w:left="7656" w:hanging="360"/>
      </w:pPr>
    </w:lvl>
    <w:lvl w:ilvl="7" w:tplc="04260019" w:tentative="1">
      <w:start w:val="1"/>
      <w:numFmt w:val="lowerLetter"/>
      <w:lvlText w:val="%8."/>
      <w:lvlJc w:val="left"/>
      <w:pPr>
        <w:ind w:left="8376" w:hanging="360"/>
      </w:pPr>
    </w:lvl>
    <w:lvl w:ilvl="8" w:tplc="0426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2" w15:restartNumberingAfterBreak="0">
    <w:nsid w:val="14F069F7"/>
    <w:multiLevelType w:val="hybridMultilevel"/>
    <w:tmpl w:val="604A535E"/>
    <w:lvl w:ilvl="0" w:tplc="215E8240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00" w:hanging="360"/>
      </w:pPr>
    </w:lvl>
    <w:lvl w:ilvl="2" w:tplc="0426001B" w:tentative="1">
      <w:start w:val="1"/>
      <w:numFmt w:val="lowerRoman"/>
      <w:lvlText w:val="%3."/>
      <w:lvlJc w:val="right"/>
      <w:pPr>
        <w:ind w:left="2320" w:hanging="180"/>
      </w:pPr>
    </w:lvl>
    <w:lvl w:ilvl="3" w:tplc="0426000F" w:tentative="1">
      <w:start w:val="1"/>
      <w:numFmt w:val="decimal"/>
      <w:lvlText w:val="%4."/>
      <w:lvlJc w:val="left"/>
      <w:pPr>
        <w:ind w:left="3040" w:hanging="360"/>
      </w:pPr>
    </w:lvl>
    <w:lvl w:ilvl="4" w:tplc="04260019" w:tentative="1">
      <w:start w:val="1"/>
      <w:numFmt w:val="lowerLetter"/>
      <w:lvlText w:val="%5."/>
      <w:lvlJc w:val="left"/>
      <w:pPr>
        <w:ind w:left="3760" w:hanging="360"/>
      </w:pPr>
    </w:lvl>
    <w:lvl w:ilvl="5" w:tplc="0426001B" w:tentative="1">
      <w:start w:val="1"/>
      <w:numFmt w:val="lowerRoman"/>
      <w:lvlText w:val="%6."/>
      <w:lvlJc w:val="right"/>
      <w:pPr>
        <w:ind w:left="4480" w:hanging="180"/>
      </w:pPr>
    </w:lvl>
    <w:lvl w:ilvl="6" w:tplc="0426000F" w:tentative="1">
      <w:start w:val="1"/>
      <w:numFmt w:val="decimal"/>
      <w:lvlText w:val="%7."/>
      <w:lvlJc w:val="left"/>
      <w:pPr>
        <w:ind w:left="5200" w:hanging="360"/>
      </w:pPr>
    </w:lvl>
    <w:lvl w:ilvl="7" w:tplc="04260019" w:tentative="1">
      <w:start w:val="1"/>
      <w:numFmt w:val="lowerLetter"/>
      <w:lvlText w:val="%8."/>
      <w:lvlJc w:val="left"/>
      <w:pPr>
        <w:ind w:left="5920" w:hanging="360"/>
      </w:pPr>
    </w:lvl>
    <w:lvl w:ilvl="8" w:tplc="0426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3" w15:restartNumberingAfterBreak="0">
    <w:nsid w:val="1889680B"/>
    <w:multiLevelType w:val="hybridMultilevel"/>
    <w:tmpl w:val="10EC9CF8"/>
    <w:lvl w:ilvl="0" w:tplc="4D8C5ED0">
      <w:start w:val="1"/>
      <w:numFmt w:val="decimal"/>
      <w:lvlText w:val="%1)"/>
      <w:lvlJc w:val="left"/>
      <w:pPr>
        <w:ind w:left="770" w:hanging="41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1558E"/>
    <w:multiLevelType w:val="hybridMultilevel"/>
    <w:tmpl w:val="BAC8FABE"/>
    <w:lvl w:ilvl="0" w:tplc="FFFFFFFF">
      <w:start w:val="1"/>
      <w:numFmt w:val="decimal"/>
      <w:lvlText w:val="%1)"/>
      <w:lvlJc w:val="left"/>
      <w:pPr>
        <w:ind w:left="927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04EDF"/>
    <w:multiLevelType w:val="hybridMultilevel"/>
    <w:tmpl w:val="02362FD6"/>
    <w:lvl w:ilvl="0" w:tplc="04260011">
      <w:start w:val="1"/>
      <w:numFmt w:val="decimal"/>
      <w:lvlText w:val="%1)"/>
      <w:lvlJc w:val="left"/>
      <w:pPr>
        <w:ind w:left="1240" w:hanging="360"/>
      </w:pPr>
    </w:lvl>
    <w:lvl w:ilvl="1" w:tplc="04260019" w:tentative="1">
      <w:start w:val="1"/>
      <w:numFmt w:val="lowerLetter"/>
      <w:lvlText w:val="%2."/>
      <w:lvlJc w:val="left"/>
      <w:pPr>
        <w:ind w:left="1960" w:hanging="360"/>
      </w:pPr>
    </w:lvl>
    <w:lvl w:ilvl="2" w:tplc="0426001B" w:tentative="1">
      <w:start w:val="1"/>
      <w:numFmt w:val="lowerRoman"/>
      <w:lvlText w:val="%3."/>
      <w:lvlJc w:val="right"/>
      <w:pPr>
        <w:ind w:left="2680" w:hanging="180"/>
      </w:pPr>
    </w:lvl>
    <w:lvl w:ilvl="3" w:tplc="0426000F" w:tentative="1">
      <w:start w:val="1"/>
      <w:numFmt w:val="decimal"/>
      <w:lvlText w:val="%4."/>
      <w:lvlJc w:val="left"/>
      <w:pPr>
        <w:ind w:left="3400" w:hanging="360"/>
      </w:pPr>
    </w:lvl>
    <w:lvl w:ilvl="4" w:tplc="04260019" w:tentative="1">
      <w:start w:val="1"/>
      <w:numFmt w:val="lowerLetter"/>
      <w:lvlText w:val="%5."/>
      <w:lvlJc w:val="left"/>
      <w:pPr>
        <w:ind w:left="4120" w:hanging="360"/>
      </w:pPr>
    </w:lvl>
    <w:lvl w:ilvl="5" w:tplc="0426001B" w:tentative="1">
      <w:start w:val="1"/>
      <w:numFmt w:val="lowerRoman"/>
      <w:lvlText w:val="%6."/>
      <w:lvlJc w:val="right"/>
      <w:pPr>
        <w:ind w:left="4840" w:hanging="180"/>
      </w:pPr>
    </w:lvl>
    <w:lvl w:ilvl="6" w:tplc="0426000F" w:tentative="1">
      <w:start w:val="1"/>
      <w:numFmt w:val="decimal"/>
      <w:lvlText w:val="%7."/>
      <w:lvlJc w:val="left"/>
      <w:pPr>
        <w:ind w:left="5560" w:hanging="360"/>
      </w:pPr>
    </w:lvl>
    <w:lvl w:ilvl="7" w:tplc="04260019" w:tentative="1">
      <w:start w:val="1"/>
      <w:numFmt w:val="lowerLetter"/>
      <w:lvlText w:val="%8."/>
      <w:lvlJc w:val="left"/>
      <w:pPr>
        <w:ind w:left="6280" w:hanging="360"/>
      </w:pPr>
    </w:lvl>
    <w:lvl w:ilvl="8" w:tplc="0426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6" w15:restartNumberingAfterBreak="0">
    <w:nsid w:val="53BB7D32"/>
    <w:multiLevelType w:val="multilevel"/>
    <w:tmpl w:val="D17AD96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i w:val="0"/>
        <w:iCs w:val="0"/>
        <w:strike w:val="0"/>
        <w:dstrike w:val="0"/>
        <w:u w:val="none"/>
        <w:effect w:val="none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503FF"/>
    <w:multiLevelType w:val="hybridMultilevel"/>
    <w:tmpl w:val="1C903EF8"/>
    <w:lvl w:ilvl="0" w:tplc="042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255176E"/>
    <w:multiLevelType w:val="multilevel"/>
    <w:tmpl w:val="11647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674A3F9F"/>
    <w:multiLevelType w:val="hybridMultilevel"/>
    <w:tmpl w:val="87C05608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CC523E"/>
    <w:multiLevelType w:val="hybridMultilevel"/>
    <w:tmpl w:val="D1D8CC44"/>
    <w:lvl w:ilvl="0" w:tplc="77B0F9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988287">
    <w:abstractNumId w:val="4"/>
  </w:num>
  <w:num w:numId="2" w16cid:durableId="66001806">
    <w:abstractNumId w:val="0"/>
  </w:num>
  <w:num w:numId="3" w16cid:durableId="1474834947">
    <w:abstractNumId w:val="9"/>
  </w:num>
  <w:num w:numId="4" w16cid:durableId="995378933">
    <w:abstractNumId w:val="7"/>
  </w:num>
  <w:num w:numId="5" w16cid:durableId="610938957">
    <w:abstractNumId w:val="1"/>
  </w:num>
  <w:num w:numId="6" w16cid:durableId="1992098003">
    <w:abstractNumId w:val="3"/>
  </w:num>
  <w:num w:numId="7" w16cid:durableId="1446123305">
    <w:abstractNumId w:val="5"/>
  </w:num>
  <w:num w:numId="8" w16cid:durableId="2020306951">
    <w:abstractNumId w:val="2"/>
  </w:num>
  <w:num w:numId="9" w16cid:durableId="500000198">
    <w:abstractNumId w:val="10"/>
  </w:num>
  <w:num w:numId="10" w16cid:durableId="18016049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434508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D38"/>
    <w:rsid w:val="00000284"/>
    <w:rsid w:val="00000BA7"/>
    <w:rsid w:val="00002BCB"/>
    <w:rsid w:val="000033A4"/>
    <w:rsid w:val="00005CBA"/>
    <w:rsid w:val="00007625"/>
    <w:rsid w:val="00010DE9"/>
    <w:rsid w:val="00011527"/>
    <w:rsid w:val="0001158A"/>
    <w:rsid w:val="00011E6A"/>
    <w:rsid w:val="000128D4"/>
    <w:rsid w:val="00013F7A"/>
    <w:rsid w:val="00015F04"/>
    <w:rsid w:val="00016559"/>
    <w:rsid w:val="00016CFF"/>
    <w:rsid w:val="00017EBF"/>
    <w:rsid w:val="00020E1E"/>
    <w:rsid w:val="00023D0D"/>
    <w:rsid w:val="00025657"/>
    <w:rsid w:val="00026C7F"/>
    <w:rsid w:val="00031030"/>
    <w:rsid w:val="000346F9"/>
    <w:rsid w:val="00043BB1"/>
    <w:rsid w:val="00044039"/>
    <w:rsid w:val="000457D9"/>
    <w:rsid w:val="000460F0"/>
    <w:rsid w:val="00046130"/>
    <w:rsid w:val="00046B32"/>
    <w:rsid w:val="00051FF1"/>
    <w:rsid w:val="000546BD"/>
    <w:rsid w:val="00055599"/>
    <w:rsid w:val="000569F4"/>
    <w:rsid w:val="00056B91"/>
    <w:rsid w:val="0005752D"/>
    <w:rsid w:val="00057E40"/>
    <w:rsid w:val="000650B1"/>
    <w:rsid w:val="000651A4"/>
    <w:rsid w:val="00066E69"/>
    <w:rsid w:val="00070B88"/>
    <w:rsid w:val="00071E26"/>
    <w:rsid w:val="0007692E"/>
    <w:rsid w:val="00086723"/>
    <w:rsid w:val="000916EA"/>
    <w:rsid w:val="00096D87"/>
    <w:rsid w:val="000A1CB3"/>
    <w:rsid w:val="000A1E24"/>
    <w:rsid w:val="000A2BA1"/>
    <w:rsid w:val="000B12F7"/>
    <w:rsid w:val="000B274F"/>
    <w:rsid w:val="000B6C81"/>
    <w:rsid w:val="000C0126"/>
    <w:rsid w:val="000C0D4C"/>
    <w:rsid w:val="000C158C"/>
    <w:rsid w:val="000C2B69"/>
    <w:rsid w:val="000D4CBC"/>
    <w:rsid w:val="000E0577"/>
    <w:rsid w:val="000E346A"/>
    <w:rsid w:val="000E3AFF"/>
    <w:rsid w:val="000F0ED6"/>
    <w:rsid w:val="000F3ABE"/>
    <w:rsid w:val="000F4375"/>
    <w:rsid w:val="000F5E18"/>
    <w:rsid w:val="000F7131"/>
    <w:rsid w:val="000F7294"/>
    <w:rsid w:val="00100870"/>
    <w:rsid w:val="00100B55"/>
    <w:rsid w:val="0010304E"/>
    <w:rsid w:val="0010366B"/>
    <w:rsid w:val="001038B2"/>
    <w:rsid w:val="00105FBE"/>
    <w:rsid w:val="0011062E"/>
    <w:rsid w:val="00110D41"/>
    <w:rsid w:val="001120C9"/>
    <w:rsid w:val="00114B2A"/>
    <w:rsid w:val="00123B5A"/>
    <w:rsid w:val="00131096"/>
    <w:rsid w:val="00132833"/>
    <w:rsid w:val="00133AA4"/>
    <w:rsid w:val="00133DD1"/>
    <w:rsid w:val="00141AB9"/>
    <w:rsid w:val="0015034B"/>
    <w:rsid w:val="00155273"/>
    <w:rsid w:val="00160409"/>
    <w:rsid w:val="0016071E"/>
    <w:rsid w:val="0017269A"/>
    <w:rsid w:val="00172B56"/>
    <w:rsid w:val="0018748E"/>
    <w:rsid w:val="00193502"/>
    <w:rsid w:val="001A0DD7"/>
    <w:rsid w:val="001B08A2"/>
    <w:rsid w:val="001B4086"/>
    <w:rsid w:val="001B6287"/>
    <w:rsid w:val="001B7557"/>
    <w:rsid w:val="001C4B26"/>
    <w:rsid w:val="001C51F0"/>
    <w:rsid w:val="001C6278"/>
    <w:rsid w:val="001D0A40"/>
    <w:rsid w:val="001D15F6"/>
    <w:rsid w:val="001D3420"/>
    <w:rsid w:val="001E2E7A"/>
    <w:rsid w:val="001E3896"/>
    <w:rsid w:val="001E5AFF"/>
    <w:rsid w:val="001E718D"/>
    <w:rsid w:val="001E7AF1"/>
    <w:rsid w:val="001E7E15"/>
    <w:rsid w:val="001F069D"/>
    <w:rsid w:val="001F4690"/>
    <w:rsid w:val="001F55A2"/>
    <w:rsid w:val="001F6F78"/>
    <w:rsid w:val="00201593"/>
    <w:rsid w:val="00202AFF"/>
    <w:rsid w:val="00207DA3"/>
    <w:rsid w:val="002134DD"/>
    <w:rsid w:val="0021534E"/>
    <w:rsid w:val="00220CBD"/>
    <w:rsid w:val="0022224A"/>
    <w:rsid w:val="00223F67"/>
    <w:rsid w:val="00224B13"/>
    <w:rsid w:val="00226480"/>
    <w:rsid w:val="00227386"/>
    <w:rsid w:val="0023330A"/>
    <w:rsid w:val="002359D1"/>
    <w:rsid w:val="00236CE2"/>
    <w:rsid w:val="00237A0A"/>
    <w:rsid w:val="00244548"/>
    <w:rsid w:val="00245C21"/>
    <w:rsid w:val="002522C7"/>
    <w:rsid w:val="00253E4A"/>
    <w:rsid w:val="00257CA0"/>
    <w:rsid w:val="00260E91"/>
    <w:rsid w:val="00261400"/>
    <w:rsid w:val="00262330"/>
    <w:rsid w:val="00264914"/>
    <w:rsid w:val="00270254"/>
    <w:rsid w:val="00270369"/>
    <w:rsid w:val="00276C94"/>
    <w:rsid w:val="002821EA"/>
    <w:rsid w:val="00284D38"/>
    <w:rsid w:val="002855C4"/>
    <w:rsid w:val="00286B90"/>
    <w:rsid w:val="0028721D"/>
    <w:rsid w:val="0029074C"/>
    <w:rsid w:val="00291859"/>
    <w:rsid w:val="00296A1E"/>
    <w:rsid w:val="00296D06"/>
    <w:rsid w:val="00297444"/>
    <w:rsid w:val="002A3E72"/>
    <w:rsid w:val="002A3F05"/>
    <w:rsid w:val="002A7D54"/>
    <w:rsid w:val="002B382B"/>
    <w:rsid w:val="002B3947"/>
    <w:rsid w:val="002B5E9E"/>
    <w:rsid w:val="002C058B"/>
    <w:rsid w:val="002C0712"/>
    <w:rsid w:val="002C10BB"/>
    <w:rsid w:val="002C2A7E"/>
    <w:rsid w:val="002C3A20"/>
    <w:rsid w:val="002C3E3C"/>
    <w:rsid w:val="002C409A"/>
    <w:rsid w:val="002D0D4F"/>
    <w:rsid w:val="002D17C7"/>
    <w:rsid w:val="002D62BB"/>
    <w:rsid w:val="002D70BB"/>
    <w:rsid w:val="002D7927"/>
    <w:rsid w:val="002E2076"/>
    <w:rsid w:val="002E6B3F"/>
    <w:rsid w:val="002F30E4"/>
    <w:rsid w:val="002F607C"/>
    <w:rsid w:val="002F6857"/>
    <w:rsid w:val="002F77FB"/>
    <w:rsid w:val="00303E23"/>
    <w:rsid w:val="00306230"/>
    <w:rsid w:val="00306672"/>
    <w:rsid w:val="00306FDB"/>
    <w:rsid w:val="00310108"/>
    <w:rsid w:val="00310EDD"/>
    <w:rsid w:val="003134F1"/>
    <w:rsid w:val="003231B3"/>
    <w:rsid w:val="00326362"/>
    <w:rsid w:val="00331BC3"/>
    <w:rsid w:val="0033661A"/>
    <w:rsid w:val="00341646"/>
    <w:rsid w:val="00342AF3"/>
    <w:rsid w:val="003447BE"/>
    <w:rsid w:val="00351121"/>
    <w:rsid w:val="0035787E"/>
    <w:rsid w:val="00361111"/>
    <w:rsid w:val="0036319A"/>
    <w:rsid w:val="00366E75"/>
    <w:rsid w:val="00370DA6"/>
    <w:rsid w:val="00374AC8"/>
    <w:rsid w:val="00376741"/>
    <w:rsid w:val="0038189C"/>
    <w:rsid w:val="00386D44"/>
    <w:rsid w:val="00393061"/>
    <w:rsid w:val="003930E2"/>
    <w:rsid w:val="003978C0"/>
    <w:rsid w:val="003A1DB0"/>
    <w:rsid w:val="003A35E6"/>
    <w:rsid w:val="003A3DAC"/>
    <w:rsid w:val="003A5B12"/>
    <w:rsid w:val="003A6361"/>
    <w:rsid w:val="003B25C0"/>
    <w:rsid w:val="003C08FF"/>
    <w:rsid w:val="003C3E41"/>
    <w:rsid w:val="003C653B"/>
    <w:rsid w:val="003C7260"/>
    <w:rsid w:val="003D2EFB"/>
    <w:rsid w:val="003D5703"/>
    <w:rsid w:val="003D6EDD"/>
    <w:rsid w:val="003E7A38"/>
    <w:rsid w:val="003E7CF8"/>
    <w:rsid w:val="003F3117"/>
    <w:rsid w:val="003F4CCA"/>
    <w:rsid w:val="003F511D"/>
    <w:rsid w:val="003F6C76"/>
    <w:rsid w:val="003F7A1F"/>
    <w:rsid w:val="00401121"/>
    <w:rsid w:val="00406646"/>
    <w:rsid w:val="004069D7"/>
    <w:rsid w:val="00415E32"/>
    <w:rsid w:val="00415F0F"/>
    <w:rsid w:val="004169C7"/>
    <w:rsid w:val="004228C1"/>
    <w:rsid w:val="00424089"/>
    <w:rsid w:val="00425111"/>
    <w:rsid w:val="00427EFC"/>
    <w:rsid w:val="00440995"/>
    <w:rsid w:val="004440D4"/>
    <w:rsid w:val="004457B0"/>
    <w:rsid w:val="00447D0E"/>
    <w:rsid w:val="00450D59"/>
    <w:rsid w:val="0045291E"/>
    <w:rsid w:val="0045317F"/>
    <w:rsid w:val="00453F22"/>
    <w:rsid w:val="004544FD"/>
    <w:rsid w:val="004607F0"/>
    <w:rsid w:val="00460E2E"/>
    <w:rsid w:val="004712F1"/>
    <w:rsid w:val="0047310B"/>
    <w:rsid w:val="00483980"/>
    <w:rsid w:val="00484BD5"/>
    <w:rsid w:val="00484CFB"/>
    <w:rsid w:val="0048525E"/>
    <w:rsid w:val="004920FA"/>
    <w:rsid w:val="00492A77"/>
    <w:rsid w:val="00496BCF"/>
    <w:rsid w:val="00497AF9"/>
    <w:rsid w:val="00497C64"/>
    <w:rsid w:val="004A05E0"/>
    <w:rsid w:val="004A1DC3"/>
    <w:rsid w:val="004A2553"/>
    <w:rsid w:val="004B1143"/>
    <w:rsid w:val="004B2942"/>
    <w:rsid w:val="004C112D"/>
    <w:rsid w:val="004C233F"/>
    <w:rsid w:val="004C2AB3"/>
    <w:rsid w:val="004C4E47"/>
    <w:rsid w:val="004D0490"/>
    <w:rsid w:val="004D25FC"/>
    <w:rsid w:val="004D2786"/>
    <w:rsid w:val="004D40FF"/>
    <w:rsid w:val="004D5195"/>
    <w:rsid w:val="004D5704"/>
    <w:rsid w:val="004E6BCE"/>
    <w:rsid w:val="004F01AD"/>
    <w:rsid w:val="004F02A7"/>
    <w:rsid w:val="004F0FD2"/>
    <w:rsid w:val="004F2073"/>
    <w:rsid w:val="004F3EC2"/>
    <w:rsid w:val="004F5B9C"/>
    <w:rsid w:val="004F7AA5"/>
    <w:rsid w:val="005005A6"/>
    <w:rsid w:val="00500796"/>
    <w:rsid w:val="00503E34"/>
    <w:rsid w:val="005079B0"/>
    <w:rsid w:val="00507E49"/>
    <w:rsid w:val="00511299"/>
    <w:rsid w:val="005167A1"/>
    <w:rsid w:val="00516ADD"/>
    <w:rsid w:val="00517E8B"/>
    <w:rsid w:val="0052442B"/>
    <w:rsid w:val="00526DB7"/>
    <w:rsid w:val="00527C7A"/>
    <w:rsid w:val="00530FE0"/>
    <w:rsid w:val="005329F4"/>
    <w:rsid w:val="005333C9"/>
    <w:rsid w:val="00533B01"/>
    <w:rsid w:val="00533B50"/>
    <w:rsid w:val="00535960"/>
    <w:rsid w:val="00541ECF"/>
    <w:rsid w:val="00545CC7"/>
    <w:rsid w:val="0055074B"/>
    <w:rsid w:val="0055241A"/>
    <w:rsid w:val="00554136"/>
    <w:rsid w:val="005554D7"/>
    <w:rsid w:val="00556D06"/>
    <w:rsid w:val="005619C0"/>
    <w:rsid w:val="00561BA6"/>
    <w:rsid w:val="00561E86"/>
    <w:rsid w:val="00563287"/>
    <w:rsid w:val="00567A9C"/>
    <w:rsid w:val="00567C46"/>
    <w:rsid w:val="00567FE9"/>
    <w:rsid w:val="00570818"/>
    <w:rsid w:val="00581381"/>
    <w:rsid w:val="00583F25"/>
    <w:rsid w:val="0058754A"/>
    <w:rsid w:val="00591CBF"/>
    <w:rsid w:val="005959A3"/>
    <w:rsid w:val="005970F5"/>
    <w:rsid w:val="005A4392"/>
    <w:rsid w:val="005A4DDD"/>
    <w:rsid w:val="005B26BA"/>
    <w:rsid w:val="005B36FC"/>
    <w:rsid w:val="005D36EC"/>
    <w:rsid w:val="005D6FC6"/>
    <w:rsid w:val="005D793C"/>
    <w:rsid w:val="005E1DBA"/>
    <w:rsid w:val="005E2A59"/>
    <w:rsid w:val="005E3382"/>
    <w:rsid w:val="005E3DF1"/>
    <w:rsid w:val="005F0919"/>
    <w:rsid w:val="005F10BB"/>
    <w:rsid w:val="005F4ECC"/>
    <w:rsid w:val="005F660A"/>
    <w:rsid w:val="005F67CC"/>
    <w:rsid w:val="005F7915"/>
    <w:rsid w:val="006055D6"/>
    <w:rsid w:val="006064AD"/>
    <w:rsid w:val="0061086B"/>
    <w:rsid w:val="00613D58"/>
    <w:rsid w:val="00616F84"/>
    <w:rsid w:val="006170AC"/>
    <w:rsid w:val="0061718C"/>
    <w:rsid w:val="00617AD4"/>
    <w:rsid w:val="006218CC"/>
    <w:rsid w:val="00621F4F"/>
    <w:rsid w:val="00624231"/>
    <w:rsid w:val="006248DB"/>
    <w:rsid w:val="00631E97"/>
    <w:rsid w:val="00634938"/>
    <w:rsid w:val="0063542F"/>
    <w:rsid w:val="00643F90"/>
    <w:rsid w:val="00646AD1"/>
    <w:rsid w:val="0065104E"/>
    <w:rsid w:val="006570A1"/>
    <w:rsid w:val="00660A87"/>
    <w:rsid w:val="00660BB1"/>
    <w:rsid w:val="00660F6C"/>
    <w:rsid w:val="00661EC6"/>
    <w:rsid w:val="00662AB8"/>
    <w:rsid w:val="00664457"/>
    <w:rsid w:val="00664982"/>
    <w:rsid w:val="00671872"/>
    <w:rsid w:val="00676705"/>
    <w:rsid w:val="00680242"/>
    <w:rsid w:val="00680366"/>
    <w:rsid w:val="00682971"/>
    <w:rsid w:val="0068362A"/>
    <w:rsid w:val="00685523"/>
    <w:rsid w:val="00690481"/>
    <w:rsid w:val="006909A8"/>
    <w:rsid w:val="0069208D"/>
    <w:rsid w:val="006A06D6"/>
    <w:rsid w:val="006A1E74"/>
    <w:rsid w:val="006A2A11"/>
    <w:rsid w:val="006A4A2E"/>
    <w:rsid w:val="006A4D71"/>
    <w:rsid w:val="006B2A55"/>
    <w:rsid w:val="006B3421"/>
    <w:rsid w:val="006B461C"/>
    <w:rsid w:val="006B4F70"/>
    <w:rsid w:val="006C3828"/>
    <w:rsid w:val="006C429D"/>
    <w:rsid w:val="006C5842"/>
    <w:rsid w:val="006C72AD"/>
    <w:rsid w:val="006D0296"/>
    <w:rsid w:val="006D096D"/>
    <w:rsid w:val="006D0D37"/>
    <w:rsid w:val="006D1B49"/>
    <w:rsid w:val="006D2A84"/>
    <w:rsid w:val="006D46F9"/>
    <w:rsid w:val="006D5A35"/>
    <w:rsid w:val="006E42DB"/>
    <w:rsid w:val="006E7953"/>
    <w:rsid w:val="006F7B9A"/>
    <w:rsid w:val="00701C82"/>
    <w:rsid w:val="007021CC"/>
    <w:rsid w:val="0071033A"/>
    <w:rsid w:val="007163BF"/>
    <w:rsid w:val="007218F1"/>
    <w:rsid w:val="007223D9"/>
    <w:rsid w:val="00722DEF"/>
    <w:rsid w:val="00725762"/>
    <w:rsid w:val="00732243"/>
    <w:rsid w:val="007357DC"/>
    <w:rsid w:val="007375D4"/>
    <w:rsid w:val="00737E9C"/>
    <w:rsid w:val="00740596"/>
    <w:rsid w:val="00740D31"/>
    <w:rsid w:val="00742F43"/>
    <w:rsid w:val="00745442"/>
    <w:rsid w:val="00746B48"/>
    <w:rsid w:val="007471E3"/>
    <w:rsid w:val="0074791A"/>
    <w:rsid w:val="00751F9B"/>
    <w:rsid w:val="0075531E"/>
    <w:rsid w:val="00757B75"/>
    <w:rsid w:val="007676EA"/>
    <w:rsid w:val="00767878"/>
    <w:rsid w:val="00773EED"/>
    <w:rsid w:val="007816B1"/>
    <w:rsid w:val="00781A3E"/>
    <w:rsid w:val="00790887"/>
    <w:rsid w:val="00792ADE"/>
    <w:rsid w:val="00794470"/>
    <w:rsid w:val="00794EAF"/>
    <w:rsid w:val="0079577C"/>
    <w:rsid w:val="00796745"/>
    <w:rsid w:val="007B13FC"/>
    <w:rsid w:val="007B15A3"/>
    <w:rsid w:val="007B1B00"/>
    <w:rsid w:val="007B2A2B"/>
    <w:rsid w:val="007B315A"/>
    <w:rsid w:val="007B49FC"/>
    <w:rsid w:val="007B5600"/>
    <w:rsid w:val="007B75B9"/>
    <w:rsid w:val="007B7B16"/>
    <w:rsid w:val="007B7C21"/>
    <w:rsid w:val="007C300A"/>
    <w:rsid w:val="007C5896"/>
    <w:rsid w:val="007C7D57"/>
    <w:rsid w:val="007D1EBF"/>
    <w:rsid w:val="007D3112"/>
    <w:rsid w:val="007D4BE3"/>
    <w:rsid w:val="007E0362"/>
    <w:rsid w:val="007E0BD3"/>
    <w:rsid w:val="007E125A"/>
    <w:rsid w:val="007E378B"/>
    <w:rsid w:val="007E3AB6"/>
    <w:rsid w:val="007E4051"/>
    <w:rsid w:val="007E452C"/>
    <w:rsid w:val="007E520B"/>
    <w:rsid w:val="007F1630"/>
    <w:rsid w:val="007F1C0E"/>
    <w:rsid w:val="007F1C71"/>
    <w:rsid w:val="007F2955"/>
    <w:rsid w:val="007F2988"/>
    <w:rsid w:val="007F4D10"/>
    <w:rsid w:val="007F72B4"/>
    <w:rsid w:val="008014BA"/>
    <w:rsid w:val="00804161"/>
    <w:rsid w:val="00804C24"/>
    <w:rsid w:val="00804F8D"/>
    <w:rsid w:val="00812050"/>
    <w:rsid w:val="008141E0"/>
    <w:rsid w:val="00817DDC"/>
    <w:rsid w:val="0082342F"/>
    <w:rsid w:val="0082704A"/>
    <w:rsid w:val="00830973"/>
    <w:rsid w:val="00830C70"/>
    <w:rsid w:val="00831F05"/>
    <w:rsid w:val="008342B7"/>
    <w:rsid w:val="008347DA"/>
    <w:rsid w:val="0083648E"/>
    <w:rsid w:val="0083675B"/>
    <w:rsid w:val="00841A2A"/>
    <w:rsid w:val="00842DAA"/>
    <w:rsid w:val="008433D4"/>
    <w:rsid w:val="008464A3"/>
    <w:rsid w:val="00854255"/>
    <w:rsid w:val="0086087C"/>
    <w:rsid w:val="00861FCB"/>
    <w:rsid w:val="0086200A"/>
    <w:rsid w:val="0086312A"/>
    <w:rsid w:val="00863C7B"/>
    <w:rsid w:val="008730EE"/>
    <w:rsid w:val="00873448"/>
    <w:rsid w:val="00874927"/>
    <w:rsid w:val="0087588F"/>
    <w:rsid w:val="00875D2F"/>
    <w:rsid w:val="008778BB"/>
    <w:rsid w:val="00880843"/>
    <w:rsid w:val="0088143D"/>
    <w:rsid w:val="00881F26"/>
    <w:rsid w:val="00882736"/>
    <w:rsid w:val="00883EEF"/>
    <w:rsid w:val="00887CBC"/>
    <w:rsid w:val="008929B8"/>
    <w:rsid w:val="00894480"/>
    <w:rsid w:val="00894D21"/>
    <w:rsid w:val="00895104"/>
    <w:rsid w:val="00896DBD"/>
    <w:rsid w:val="00897948"/>
    <w:rsid w:val="00897A62"/>
    <w:rsid w:val="008A3468"/>
    <w:rsid w:val="008A3794"/>
    <w:rsid w:val="008A5438"/>
    <w:rsid w:val="008B0683"/>
    <w:rsid w:val="008B090E"/>
    <w:rsid w:val="008B1929"/>
    <w:rsid w:val="008B3C23"/>
    <w:rsid w:val="008B702A"/>
    <w:rsid w:val="008C6EEC"/>
    <w:rsid w:val="008D0784"/>
    <w:rsid w:val="008D0C1B"/>
    <w:rsid w:val="008D0DC2"/>
    <w:rsid w:val="008D58BD"/>
    <w:rsid w:val="008E1212"/>
    <w:rsid w:val="008F1372"/>
    <w:rsid w:val="008F729E"/>
    <w:rsid w:val="00901061"/>
    <w:rsid w:val="0090117F"/>
    <w:rsid w:val="0090232B"/>
    <w:rsid w:val="00907E79"/>
    <w:rsid w:val="00912A4E"/>
    <w:rsid w:val="00913E63"/>
    <w:rsid w:val="00916EC1"/>
    <w:rsid w:val="00921630"/>
    <w:rsid w:val="0092266E"/>
    <w:rsid w:val="009226BF"/>
    <w:rsid w:val="00922B4A"/>
    <w:rsid w:val="0093282C"/>
    <w:rsid w:val="00933239"/>
    <w:rsid w:val="00941AFF"/>
    <w:rsid w:val="00951C31"/>
    <w:rsid w:val="00954C36"/>
    <w:rsid w:val="00955419"/>
    <w:rsid w:val="009607EA"/>
    <w:rsid w:val="0096545F"/>
    <w:rsid w:val="00965525"/>
    <w:rsid w:val="00972EE3"/>
    <w:rsid w:val="00974CF6"/>
    <w:rsid w:val="0097512B"/>
    <w:rsid w:val="00975C81"/>
    <w:rsid w:val="00975C93"/>
    <w:rsid w:val="0098127D"/>
    <w:rsid w:val="00986340"/>
    <w:rsid w:val="00987457"/>
    <w:rsid w:val="0099023D"/>
    <w:rsid w:val="00990C7D"/>
    <w:rsid w:val="00993856"/>
    <w:rsid w:val="009A1427"/>
    <w:rsid w:val="009A2505"/>
    <w:rsid w:val="009A27C5"/>
    <w:rsid w:val="009A30D8"/>
    <w:rsid w:val="009B1E0B"/>
    <w:rsid w:val="009C3E2F"/>
    <w:rsid w:val="009C3E75"/>
    <w:rsid w:val="009D0104"/>
    <w:rsid w:val="009D106D"/>
    <w:rsid w:val="009D13B7"/>
    <w:rsid w:val="009D2D30"/>
    <w:rsid w:val="009D4488"/>
    <w:rsid w:val="009D787C"/>
    <w:rsid w:val="009D799F"/>
    <w:rsid w:val="009E1C68"/>
    <w:rsid w:val="009E2024"/>
    <w:rsid w:val="009E3C28"/>
    <w:rsid w:val="009E4874"/>
    <w:rsid w:val="009E5F91"/>
    <w:rsid w:val="009E7B0E"/>
    <w:rsid w:val="009F039A"/>
    <w:rsid w:val="009F4C41"/>
    <w:rsid w:val="009F4DED"/>
    <w:rsid w:val="009F58E5"/>
    <w:rsid w:val="00A02D03"/>
    <w:rsid w:val="00A031C6"/>
    <w:rsid w:val="00A03F23"/>
    <w:rsid w:val="00A0462E"/>
    <w:rsid w:val="00A04E33"/>
    <w:rsid w:val="00A06E04"/>
    <w:rsid w:val="00A07E5B"/>
    <w:rsid w:val="00A07F57"/>
    <w:rsid w:val="00A11613"/>
    <w:rsid w:val="00A152AA"/>
    <w:rsid w:val="00A222EC"/>
    <w:rsid w:val="00A24271"/>
    <w:rsid w:val="00A35B78"/>
    <w:rsid w:val="00A35C14"/>
    <w:rsid w:val="00A37114"/>
    <w:rsid w:val="00A372DE"/>
    <w:rsid w:val="00A372E9"/>
    <w:rsid w:val="00A413F5"/>
    <w:rsid w:val="00A428D2"/>
    <w:rsid w:val="00A443D9"/>
    <w:rsid w:val="00A44A82"/>
    <w:rsid w:val="00A4569C"/>
    <w:rsid w:val="00A47DA3"/>
    <w:rsid w:val="00A47EB1"/>
    <w:rsid w:val="00A50F6C"/>
    <w:rsid w:val="00A54733"/>
    <w:rsid w:val="00A56648"/>
    <w:rsid w:val="00A62B63"/>
    <w:rsid w:val="00A64349"/>
    <w:rsid w:val="00A66566"/>
    <w:rsid w:val="00A66EEF"/>
    <w:rsid w:val="00A673F4"/>
    <w:rsid w:val="00A7042D"/>
    <w:rsid w:val="00A722DF"/>
    <w:rsid w:val="00A7604B"/>
    <w:rsid w:val="00A8548C"/>
    <w:rsid w:val="00A90189"/>
    <w:rsid w:val="00A90BD4"/>
    <w:rsid w:val="00A968A4"/>
    <w:rsid w:val="00AA2BB5"/>
    <w:rsid w:val="00AA2F5E"/>
    <w:rsid w:val="00AA5AB1"/>
    <w:rsid w:val="00AB25B1"/>
    <w:rsid w:val="00AB55C0"/>
    <w:rsid w:val="00AB55C6"/>
    <w:rsid w:val="00AB66B0"/>
    <w:rsid w:val="00AB6738"/>
    <w:rsid w:val="00AB7167"/>
    <w:rsid w:val="00AC1A75"/>
    <w:rsid w:val="00AC1D96"/>
    <w:rsid w:val="00AC4761"/>
    <w:rsid w:val="00AD0DA2"/>
    <w:rsid w:val="00AD42FC"/>
    <w:rsid w:val="00AD5BE6"/>
    <w:rsid w:val="00AD6B42"/>
    <w:rsid w:val="00AD79E6"/>
    <w:rsid w:val="00AE07C5"/>
    <w:rsid w:val="00AE4F02"/>
    <w:rsid w:val="00AE52D9"/>
    <w:rsid w:val="00AF1013"/>
    <w:rsid w:val="00AF3DC5"/>
    <w:rsid w:val="00AF6159"/>
    <w:rsid w:val="00AF790D"/>
    <w:rsid w:val="00B00C35"/>
    <w:rsid w:val="00B01DB0"/>
    <w:rsid w:val="00B0470C"/>
    <w:rsid w:val="00B1460F"/>
    <w:rsid w:val="00B203C0"/>
    <w:rsid w:val="00B25316"/>
    <w:rsid w:val="00B25C30"/>
    <w:rsid w:val="00B25E9A"/>
    <w:rsid w:val="00B26309"/>
    <w:rsid w:val="00B26CA2"/>
    <w:rsid w:val="00B2773A"/>
    <w:rsid w:val="00B32147"/>
    <w:rsid w:val="00B33499"/>
    <w:rsid w:val="00B36448"/>
    <w:rsid w:val="00B37735"/>
    <w:rsid w:val="00B44659"/>
    <w:rsid w:val="00B45014"/>
    <w:rsid w:val="00B52652"/>
    <w:rsid w:val="00B538D8"/>
    <w:rsid w:val="00B55483"/>
    <w:rsid w:val="00B60307"/>
    <w:rsid w:val="00B609BE"/>
    <w:rsid w:val="00B62977"/>
    <w:rsid w:val="00B634A0"/>
    <w:rsid w:val="00B67783"/>
    <w:rsid w:val="00B71A08"/>
    <w:rsid w:val="00B71E28"/>
    <w:rsid w:val="00B73FB5"/>
    <w:rsid w:val="00B76CDA"/>
    <w:rsid w:val="00B77A4B"/>
    <w:rsid w:val="00B823AC"/>
    <w:rsid w:val="00B85593"/>
    <w:rsid w:val="00B86268"/>
    <w:rsid w:val="00B8646A"/>
    <w:rsid w:val="00B87348"/>
    <w:rsid w:val="00B90704"/>
    <w:rsid w:val="00BA158A"/>
    <w:rsid w:val="00BA2A0D"/>
    <w:rsid w:val="00BA3DDB"/>
    <w:rsid w:val="00BA6414"/>
    <w:rsid w:val="00BA7271"/>
    <w:rsid w:val="00BA7799"/>
    <w:rsid w:val="00BA7EB2"/>
    <w:rsid w:val="00BB04A4"/>
    <w:rsid w:val="00BB3A38"/>
    <w:rsid w:val="00BB4163"/>
    <w:rsid w:val="00BB43FE"/>
    <w:rsid w:val="00BB4736"/>
    <w:rsid w:val="00BB6901"/>
    <w:rsid w:val="00BC41FD"/>
    <w:rsid w:val="00BD24BE"/>
    <w:rsid w:val="00BD4DF2"/>
    <w:rsid w:val="00BD6060"/>
    <w:rsid w:val="00BD7912"/>
    <w:rsid w:val="00BE026C"/>
    <w:rsid w:val="00BE062F"/>
    <w:rsid w:val="00BE1575"/>
    <w:rsid w:val="00BF3363"/>
    <w:rsid w:val="00BF37CB"/>
    <w:rsid w:val="00BF5B2F"/>
    <w:rsid w:val="00BF6F97"/>
    <w:rsid w:val="00C00109"/>
    <w:rsid w:val="00C00A0B"/>
    <w:rsid w:val="00C00D09"/>
    <w:rsid w:val="00C022A2"/>
    <w:rsid w:val="00C027EF"/>
    <w:rsid w:val="00C03D36"/>
    <w:rsid w:val="00C05B30"/>
    <w:rsid w:val="00C067BE"/>
    <w:rsid w:val="00C071E2"/>
    <w:rsid w:val="00C07E3E"/>
    <w:rsid w:val="00C100BE"/>
    <w:rsid w:val="00C107CB"/>
    <w:rsid w:val="00C15D72"/>
    <w:rsid w:val="00C17CB8"/>
    <w:rsid w:val="00C20122"/>
    <w:rsid w:val="00C22272"/>
    <w:rsid w:val="00C2291F"/>
    <w:rsid w:val="00C24C64"/>
    <w:rsid w:val="00C2524C"/>
    <w:rsid w:val="00C32023"/>
    <w:rsid w:val="00C32E5B"/>
    <w:rsid w:val="00C377E1"/>
    <w:rsid w:val="00C40452"/>
    <w:rsid w:val="00C41B5C"/>
    <w:rsid w:val="00C420E2"/>
    <w:rsid w:val="00C46E8B"/>
    <w:rsid w:val="00C46EFD"/>
    <w:rsid w:val="00C5179B"/>
    <w:rsid w:val="00C52588"/>
    <w:rsid w:val="00C601BD"/>
    <w:rsid w:val="00C60929"/>
    <w:rsid w:val="00C676A5"/>
    <w:rsid w:val="00C70EFE"/>
    <w:rsid w:val="00C710DD"/>
    <w:rsid w:val="00C81530"/>
    <w:rsid w:val="00C8323B"/>
    <w:rsid w:val="00C86378"/>
    <w:rsid w:val="00C913EE"/>
    <w:rsid w:val="00C92D8B"/>
    <w:rsid w:val="00C948CA"/>
    <w:rsid w:val="00C96BDD"/>
    <w:rsid w:val="00C97300"/>
    <w:rsid w:val="00CA24FD"/>
    <w:rsid w:val="00CA2A0A"/>
    <w:rsid w:val="00CA7A24"/>
    <w:rsid w:val="00CB559B"/>
    <w:rsid w:val="00CC47B6"/>
    <w:rsid w:val="00CC5581"/>
    <w:rsid w:val="00CC6538"/>
    <w:rsid w:val="00CD3645"/>
    <w:rsid w:val="00CD6F41"/>
    <w:rsid w:val="00CE1BD6"/>
    <w:rsid w:val="00CE3888"/>
    <w:rsid w:val="00CF2312"/>
    <w:rsid w:val="00CF3F5A"/>
    <w:rsid w:val="00CF74C0"/>
    <w:rsid w:val="00D07EE1"/>
    <w:rsid w:val="00D112A9"/>
    <w:rsid w:val="00D135C9"/>
    <w:rsid w:val="00D16368"/>
    <w:rsid w:val="00D22BCE"/>
    <w:rsid w:val="00D255A8"/>
    <w:rsid w:val="00D26E32"/>
    <w:rsid w:val="00D2743A"/>
    <w:rsid w:val="00D31051"/>
    <w:rsid w:val="00D31BC2"/>
    <w:rsid w:val="00D33B7B"/>
    <w:rsid w:val="00D35F7C"/>
    <w:rsid w:val="00D40355"/>
    <w:rsid w:val="00D404CA"/>
    <w:rsid w:val="00D41A4A"/>
    <w:rsid w:val="00D42BCE"/>
    <w:rsid w:val="00D46365"/>
    <w:rsid w:val="00D536F1"/>
    <w:rsid w:val="00D53AC5"/>
    <w:rsid w:val="00D603B0"/>
    <w:rsid w:val="00D6187D"/>
    <w:rsid w:val="00D64892"/>
    <w:rsid w:val="00D64A47"/>
    <w:rsid w:val="00D65805"/>
    <w:rsid w:val="00D65F70"/>
    <w:rsid w:val="00D66869"/>
    <w:rsid w:val="00D71ADD"/>
    <w:rsid w:val="00D76833"/>
    <w:rsid w:val="00D76B92"/>
    <w:rsid w:val="00D770E9"/>
    <w:rsid w:val="00D80EF8"/>
    <w:rsid w:val="00D8333E"/>
    <w:rsid w:val="00D85DDE"/>
    <w:rsid w:val="00D8650E"/>
    <w:rsid w:val="00D874BA"/>
    <w:rsid w:val="00D879FE"/>
    <w:rsid w:val="00D902AB"/>
    <w:rsid w:val="00D91398"/>
    <w:rsid w:val="00D91FF5"/>
    <w:rsid w:val="00D9314C"/>
    <w:rsid w:val="00DA40EA"/>
    <w:rsid w:val="00DA7B63"/>
    <w:rsid w:val="00DB047B"/>
    <w:rsid w:val="00DB3BAB"/>
    <w:rsid w:val="00DB5D84"/>
    <w:rsid w:val="00DB6FF9"/>
    <w:rsid w:val="00DC15F9"/>
    <w:rsid w:val="00DC31A6"/>
    <w:rsid w:val="00DD058F"/>
    <w:rsid w:val="00DD16BF"/>
    <w:rsid w:val="00DD2097"/>
    <w:rsid w:val="00DD54AE"/>
    <w:rsid w:val="00DD5BA4"/>
    <w:rsid w:val="00DE3F52"/>
    <w:rsid w:val="00DF13C2"/>
    <w:rsid w:val="00DF35E3"/>
    <w:rsid w:val="00DF4A3F"/>
    <w:rsid w:val="00DF6451"/>
    <w:rsid w:val="00E0097E"/>
    <w:rsid w:val="00E016F6"/>
    <w:rsid w:val="00E037FB"/>
    <w:rsid w:val="00E03A88"/>
    <w:rsid w:val="00E055AC"/>
    <w:rsid w:val="00E06776"/>
    <w:rsid w:val="00E12A7D"/>
    <w:rsid w:val="00E13025"/>
    <w:rsid w:val="00E1384B"/>
    <w:rsid w:val="00E2273A"/>
    <w:rsid w:val="00E22CBD"/>
    <w:rsid w:val="00E23A37"/>
    <w:rsid w:val="00E23A94"/>
    <w:rsid w:val="00E25552"/>
    <w:rsid w:val="00E278E5"/>
    <w:rsid w:val="00E32B51"/>
    <w:rsid w:val="00E3499E"/>
    <w:rsid w:val="00E36ABE"/>
    <w:rsid w:val="00E40201"/>
    <w:rsid w:val="00E4085B"/>
    <w:rsid w:val="00E41229"/>
    <w:rsid w:val="00E4131F"/>
    <w:rsid w:val="00E4176F"/>
    <w:rsid w:val="00E44413"/>
    <w:rsid w:val="00E44E45"/>
    <w:rsid w:val="00E475B0"/>
    <w:rsid w:val="00E5088A"/>
    <w:rsid w:val="00E5548E"/>
    <w:rsid w:val="00E57FB5"/>
    <w:rsid w:val="00E60127"/>
    <w:rsid w:val="00E60CB2"/>
    <w:rsid w:val="00E6677A"/>
    <w:rsid w:val="00E7294C"/>
    <w:rsid w:val="00E81285"/>
    <w:rsid w:val="00E8240C"/>
    <w:rsid w:val="00E82E63"/>
    <w:rsid w:val="00E83C44"/>
    <w:rsid w:val="00E858FE"/>
    <w:rsid w:val="00E87AFC"/>
    <w:rsid w:val="00E90892"/>
    <w:rsid w:val="00E94F15"/>
    <w:rsid w:val="00E9512C"/>
    <w:rsid w:val="00E963E5"/>
    <w:rsid w:val="00E97FDB"/>
    <w:rsid w:val="00EA7437"/>
    <w:rsid w:val="00EA74A4"/>
    <w:rsid w:val="00EA7F3C"/>
    <w:rsid w:val="00EB39FE"/>
    <w:rsid w:val="00EB7DC2"/>
    <w:rsid w:val="00EC3D3A"/>
    <w:rsid w:val="00EC6A01"/>
    <w:rsid w:val="00EC7C63"/>
    <w:rsid w:val="00ED2754"/>
    <w:rsid w:val="00ED399C"/>
    <w:rsid w:val="00EE1A5E"/>
    <w:rsid w:val="00EE3694"/>
    <w:rsid w:val="00EE3D3F"/>
    <w:rsid w:val="00EE63D5"/>
    <w:rsid w:val="00EF381D"/>
    <w:rsid w:val="00EF4595"/>
    <w:rsid w:val="00EF675B"/>
    <w:rsid w:val="00F0112C"/>
    <w:rsid w:val="00F01DF9"/>
    <w:rsid w:val="00F029CE"/>
    <w:rsid w:val="00F02B94"/>
    <w:rsid w:val="00F031B6"/>
    <w:rsid w:val="00F03DA1"/>
    <w:rsid w:val="00F05C1B"/>
    <w:rsid w:val="00F06332"/>
    <w:rsid w:val="00F065CE"/>
    <w:rsid w:val="00F067E6"/>
    <w:rsid w:val="00F072B9"/>
    <w:rsid w:val="00F110A0"/>
    <w:rsid w:val="00F16F23"/>
    <w:rsid w:val="00F3170C"/>
    <w:rsid w:val="00F3626B"/>
    <w:rsid w:val="00F37FD2"/>
    <w:rsid w:val="00F40BF9"/>
    <w:rsid w:val="00F40E05"/>
    <w:rsid w:val="00F41840"/>
    <w:rsid w:val="00F443B5"/>
    <w:rsid w:val="00F449DB"/>
    <w:rsid w:val="00F46960"/>
    <w:rsid w:val="00F47D28"/>
    <w:rsid w:val="00F52C5F"/>
    <w:rsid w:val="00F6251E"/>
    <w:rsid w:val="00F64B0A"/>
    <w:rsid w:val="00F64C2D"/>
    <w:rsid w:val="00F700C0"/>
    <w:rsid w:val="00F7013B"/>
    <w:rsid w:val="00F75790"/>
    <w:rsid w:val="00F76465"/>
    <w:rsid w:val="00F90992"/>
    <w:rsid w:val="00FA13FA"/>
    <w:rsid w:val="00FA5CD3"/>
    <w:rsid w:val="00FA6F1C"/>
    <w:rsid w:val="00FA721C"/>
    <w:rsid w:val="00FA7492"/>
    <w:rsid w:val="00FA7D6B"/>
    <w:rsid w:val="00FB01A2"/>
    <w:rsid w:val="00FB0F1F"/>
    <w:rsid w:val="00FB1D5B"/>
    <w:rsid w:val="00FB1F65"/>
    <w:rsid w:val="00FB2476"/>
    <w:rsid w:val="00FB2570"/>
    <w:rsid w:val="00FB3CEA"/>
    <w:rsid w:val="00FB43F3"/>
    <w:rsid w:val="00FB4403"/>
    <w:rsid w:val="00FB62D3"/>
    <w:rsid w:val="00FC0C84"/>
    <w:rsid w:val="00FC5242"/>
    <w:rsid w:val="00FD0F3B"/>
    <w:rsid w:val="00FD41B2"/>
    <w:rsid w:val="00FD78F5"/>
    <w:rsid w:val="00FE0764"/>
    <w:rsid w:val="00FE1306"/>
    <w:rsid w:val="00FE15AB"/>
    <w:rsid w:val="00FE1A5E"/>
    <w:rsid w:val="00FE21D0"/>
    <w:rsid w:val="00FE52CC"/>
    <w:rsid w:val="00FF2D43"/>
    <w:rsid w:val="00FF31E0"/>
    <w:rsid w:val="00FF574F"/>
    <w:rsid w:val="0AAD3F7F"/>
    <w:rsid w:val="0B3E1DC9"/>
    <w:rsid w:val="27C2800E"/>
    <w:rsid w:val="44656C54"/>
    <w:rsid w:val="476A39FD"/>
    <w:rsid w:val="5BCFDC2B"/>
    <w:rsid w:val="5C7D8688"/>
    <w:rsid w:val="5E82F92D"/>
    <w:rsid w:val="671264DD"/>
    <w:rsid w:val="6987D822"/>
    <w:rsid w:val="7466E4E6"/>
    <w:rsid w:val="79A338A0"/>
    <w:rsid w:val="7D9EA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871F2"/>
  <w15:chartTrackingRefBased/>
  <w15:docId w15:val="{860A4AF6-78C9-47AB-8A7F-14A53AF1E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828"/>
    <w:rPr>
      <w:kern w:val="0"/>
      <w14:ligatures w14:val="none"/>
    </w:rPr>
  </w:style>
  <w:style w:type="paragraph" w:styleId="Heading2">
    <w:name w:val="heading 2"/>
    <w:basedOn w:val="Normal"/>
    <w:next w:val="BodyText"/>
    <w:link w:val="Heading2Char"/>
    <w:qFormat/>
    <w:rsid w:val="00D91FF5"/>
    <w:pPr>
      <w:keepLines/>
      <w:numPr>
        <w:ilvl w:val="1"/>
        <w:numId w:val="2"/>
      </w:numPr>
      <w:suppressAutoHyphens/>
      <w:spacing w:after="0" w:line="240" w:lineRule="auto"/>
      <w:jc w:val="both"/>
      <w:outlineLvl w:val="1"/>
    </w:pPr>
    <w:rPr>
      <w:rFonts w:ascii="Times New Roman" w:eastAsia="Calibri" w:hAnsi="Times New Roman" w:cs="Times New Roman"/>
      <w:color w:val="000000"/>
      <w:sz w:val="24"/>
      <w:szCs w:val="24"/>
      <w:lang w:val="x-none"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6C38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C3828"/>
    <w:rPr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unhideWhenUsed/>
    <w:rsid w:val="006C38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C38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828"/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6C382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C38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38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3828"/>
    <w:rPr>
      <w:kern w:val="0"/>
      <w:sz w:val="20"/>
      <w:szCs w:val="20"/>
      <w14:ligatures w14:val="none"/>
    </w:rPr>
  </w:style>
  <w:style w:type="paragraph" w:customStyle="1" w:styleId="doc-ti">
    <w:name w:val="doc-ti"/>
    <w:basedOn w:val="Normal"/>
    <w:rsid w:val="00366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ing2Char">
    <w:name w:val="Heading 2 Char"/>
    <w:basedOn w:val="DefaultParagraphFont"/>
    <w:link w:val="Heading2"/>
    <w:rsid w:val="00D91FF5"/>
    <w:rPr>
      <w:rFonts w:ascii="Times New Roman" w:eastAsia="Calibri" w:hAnsi="Times New Roman" w:cs="Times New Roman"/>
      <w:color w:val="000000"/>
      <w:kern w:val="0"/>
      <w:sz w:val="24"/>
      <w:szCs w:val="24"/>
      <w:lang w:val="x-none" w:eastAsia="zh-CN"/>
      <w14:ligatures w14:val="none"/>
    </w:rPr>
  </w:style>
  <w:style w:type="paragraph" w:styleId="BodyText">
    <w:name w:val="Body Text"/>
    <w:basedOn w:val="Normal"/>
    <w:link w:val="BodyTextChar"/>
    <w:uiPriority w:val="99"/>
    <w:unhideWhenUsed/>
    <w:rsid w:val="00D91FF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91FF5"/>
    <w:rPr>
      <w:kern w:val="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5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5C4"/>
    <w:rPr>
      <w:b/>
      <w:bCs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25C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C30"/>
    <w:rPr>
      <w:kern w:val="0"/>
      <w14:ligatures w14:val="none"/>
    </w:rPr>
  </w:style>
  <w:style w:type="paragraph" w:styleId="Revision">
    <w:name w:val="Revision"/>
    <w:hidden/>
    <w:uiPriority w:val="99"/>
    <w:semiHidden/>
    <w:rsid w:val="00B25C30"/>
    <w:pPr>
      <w:spacing w:after="0" w:line="240" w:lineRule="auto"/>
    </w:pPr>
    <w:rPr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0C01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0126"/>
    <w:rPr>
      <w:color w:val="605E5C"/>
      <w:shd w:val="clear" w:color="auto" w:fill="E1DFDD"/>
    </w:rPr>
  </w:style>
  <w:style w:type="character" w:customStyle="1" w:styleId="NApunkts1Rakstz">
    <w:name w:val="NA punkts 1 Rakstz."/>
    <w:basedOn w:val="DefaultParagraphFont"/>
    <w:link w:val="NApunkts1"/>
    <w:locked/>
    <w:rsid w:val="00941AFF"/>
  </w:style>
  <w:style w:type="paragraph" w:customStyle="1" w:styleId="NApunkts1">
    <w:name w:val="NA punkts 1"/>
    <w:basedOn w:val="Normal"/>
    <w:link w:val="NApunkts1Rakstz"/>
    <w:rsid w:val="00941AFF"/>
    <w:pPr>
      <w:numPr>
        <w:numId w:val="10"/>
      </w:numPr>
      <w:spacing w:before="240" w:after="0" w:line="240" w:lineRule="auto"/>
      <w:jc w:val="both"/>
    </w:pPr>
    <w:rPr>
      <w:kern w:val="2"/>
      <w14:ligatures w14:val="standardContextual"/>
    </w:rPr>
  </w:style>
  <w:style w:type="paragraph" w:customStyle="1" w:styleId="NApunkts2">
    <w:name w:val="NA punkts 2"/>
    <w:basedOn w:val="Normal"/>
    <w:rsid w:val="00941AFF"/>
    <w:pPr>
      <w:numPr>
        <w:ilvl w:val="1"/>
        <w:numId w:val="10"/>
      </w:num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Apunkts3">
    <w:name w:val="NA punkts 3"/>
    <w:basedOn w:val="Normal"/>
    <w:rsid w:val="00941AFF"/>
    <w:pPr>
      <w:numPr>
        <w:ilvl w:val="2"/>
        <w:numId w:val="10"/>
      </w:num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Apunkts4">
    <w:name w:val="NA punkts 4"/>
    <w:basedOn w:val="Normal"/>
    <w:rsid w:val="00941AFF"/>
    <w:pPr>
      <w:numPr>
        <w:ilvl w:val="3"/>
        <w:numId w:val="10"/>
      </w:num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Default">
    <w:name w:val="Default"/>
    <w:rsid w:val="008041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0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nk.l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apportals.mk.gov.lv/legal_acts/258ca19e-8464-4aaa-aac9-3d22ce06aca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AE3B36387A5AF24CA814137E19A00DCF" ma:contentTypeVersion="4" ma:contentTypeDescription="Izveidot jaunu dokumentu." ma:contentTypeScope="" ma:versionID="a6458b76fdd82fee62ed37a2a7144803">
  <xsd:schema xmlns:xsd="http://www.w3.org/2001/XMLSchema" xmlns:xs="http://www.w3.org/2001/XMLSchema" xmlns:p="http://schemas.microsoft.com/office/2006/metadata/properties" xmlns:ns2="838f2b79-ba63-459d-9764-2ae4082e748a" targetNamespace="http://schemas.microsoft.com/office/2006/metadata/properties" ma:root="true" ma:fieldsID="fcd03b2049e86ebeddcd176581222d22" ns2:_="">
    <xsd:import namespace="838f2b79-ba63-459d-9764-2ae4082e74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8f2b79-ba63-459d-9764-2ae4082e74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579462-E2FA-4C62-B47B-493A0B7725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B08A8D-21EE-4885-8C6C-65675735DE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131D0-7034-4F78-95E9-80565C3DA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8f2b79-ba63-459d-9764-2ae4082e74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A7035F-2C0B-4B09-B2E5-83C199E9B67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6213</Words>
  <Characters>3542</Characters>
  <Application>Microsoft Office Word</Application>
  <DocSecurity>0</DocSecurity>
  <Lines>29</Lines>
  <Paragraphs>19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9736</CharactersWithSpaces>
  <SharedDoc>false</SharedDoc>
  <HLinks>
    <vt:vector size="30" baseType="variant">
      <vt:variant>
        <vt:i4>8323126</vt:i4>
      </vt:variant>
      <vt:variant>
        <vt:i4>12</vt:i4>
      </vt:variant>
      <vt:variant>
        <vt:i4>0</vt:i4>
      </vt:variant>
      <vt:variant>
        <vt:i4>5</vt:i4>
      </vt:variant>
      <vt:variant>
        <vt:lpwstr>http://www.bank.lv/</vt:lpwstr>
      </vt:variant>
      <vt:variant>
        <vt:lpwstr/>
      </vt:variant>
      <vt:variant>
        <vt:i4>5701684</vt:i4>
      </vt:variant>
      <vt:variant>
        <vt:i4>9</vt:i4>
      </vt:variant>
      <vt:variant>
        <vt:i4>0</vt:i4>
      </vt:variant>
      <vt:variant>
        <vt:i4>5</vt:i4>
      </vt:variant>
      <vt:variant>
        <vt:lpwstr>http://eur-lex.europa.eu/eli/reg_impl/2021/451/oj/?locale=LV</vt:lpwstr>
      </vt:variant>
      <vt:variant>
        <vt:lpwstr/>
      </vt:variant>
      <vt:variant>
        <vt:i4>5701684</vt:i4>
      </vt:variant>
      <vt:variant>
        <vt:i4>6</vt:i4>
      </vt:variant>
      <vt:variant>
        <vt:i4>0</vt:i4>
      </vt:variant>
      <vt:variant>
        <vt:i4>5</vt:i4>
      </vt:variant>
      <vt:variant>
        <vt:lpwstr>http://eur-lex.europa.eu/eli/reg_impl/2021/451/oj/?locale=LV</vt:lpwstr>
      </vt:variant>
      <vt:variant>
        <vt:lpwstr/>
      </vt:variant>
      <vt:variant>
        <vt:i4>5308474</vt:i4>
      </vt:variant>
      <vt:variant>
        <vt:i4>3</vt:i4>
      </vt:variant>
      <vt:variant>
        <vt:i4>0</vt:i4>
      </vt:variant>
      <vt:variant>
        <vt:i4>5</vt:i4>
      </vt:variant>
      <vt:variant>
        <vt:lpwstr>http://eur-lex.europa.eu/eli/reg_impl/2014/680/oj/?locale=LV</vt:lpwstr>
      </vt:variant>
      <vt:variant>
        <vt:lpwstr/>
      </vt:variant>
      <vt:variant>
        <vt:i4>5701684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http://eur-lex.europa.eu/eli/reg_impl/2021/451/oj/?locale=LV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Maija Valce</dc:creator>
  <cp:keywords/>
  <dc:description/>
  <cp:lastModifiedBy>Ilze Grava</cp:lastModifiedBy>
  <cp:revision>9</cp:revision>
  <cp:lastPrinted>2025-11-06T07:45:00Z</cp:lastPrinted>
  <dcterms:created xsi:type="dcterms:W3CDTF">2025-12-11T10:09:00Z</dcterms:created>
  <dcterms:modified xsi:type="dcterms:W3CDTF">2025-12-12T13:13:00Z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0x010100AE3B36387A5AF24CA814137E19A00DCF</vt:lpwstr>
  </property>
</Properties>
</file>